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3A81C" w14:textId="4ECD4997" w:rsidR="005227BF" w:rsidRDefault="005227BF" w:rsidP="00A245F2">
      <w:pPr>
        <w:rPr>
          <w:sz w:val="36"/>
          <w:szCs w:val="36"/>
        </w:rPr>
      </w:pPr>
      <w:r>
        <w:rPr>
          <w:sz w:val="36"/>
          <w:szCs w:val="36"/>
        </w:rPr>
        <w:t>DPT 06.2026</w:t>
      </w:r>
    </w:p>
    <w:p w14:paraId="3A70699C" w14:textId="11F06306" w:rsidR="003F0828" w:rsidRPr="004D225C" w:rsidRDefault="003F0828" w:rsidP="00A245F2">
      <w:pPr>
        <w:rPr>
          <w:sz w:val="36"/>
          <w:szCs w:val="36"/>
        </w:rPr>
      </w:pPr>
      <w:r w:rsidRPr="004D225C">
        <w:rPr>
          <w:sz w:val="36"/>
          <w:szCs w:val="36"/>
        </w:rPr>
        <w:t>FALLO I</w:t>
      </w:r>
    </w:p>
    <w:p w14:paraId="414AE4E2" w14:textId="77777777" w:rsidR="004B7DB8" w:rsidRPr="004B7DB8" w:rsidRDefault="004B7DB8" w:rsidP="004B7DB8">
      <w:r w:rsidRPr="004B7DB8">
        <w:rPr>
          <w:b/>
          <w:bCs/>
        </w:rPr>
        <w:t>Autos:</w:t>
      </w:r>
      <w:r w:rsidRPr="004B7DB8">
        <w:t xml:space="preserve"> “Buenos Aires Arena S.A. s/ excepción de falta de acción” (investigación por presunta evasión del Impuesto a las Ganancias, período fiscal 2023).</w:t>
      </w:r>
      <w:r w:rsidRPr="004B7DB8">
        <w:br/>
      </w:r>
      <w:r w:rsidRPr="004B7DB8">
        <w:rPr>
          <w:b/>
          <w:bCs/>
        </w:rPr>
        <w:t>Tribunal:</w:t>
      </w:r>
      <w:r w:rsidRPr="004B7DB8">
        <w:t xml:space="preserve"> Juzgado Nacional en lo Penal Económico N.º 4, Secretaría N.º 8.</w:t>
      </w:r>
      <w:r w:rsidRPr="004B7DB8">
        <w:br/>
      </w:r>
      <w:r w:rsidRPr="004B7DB8">
        <w:rPr>
          <w:b/>
          <w:bCs/>
        </w:rPr>
        <w:t>Fecha de resolución:</w:t>
      </w:r>
      <w:r w:rsidRPr="004B7DB8">
        <w:t xml:space="preserve"> 17 de abril de 2026. </w:t>
      </w:r>
    </w:p>
    <w:p w14:paraId="713B7E4D" w14:textId="77777777" w:rsidR="004B7DB8" w:rsidRPr="004B7DB8" w:rsidRDefault="004B7DB8" w:rsidP="004B7DB8">
      <w:pPr>
        <w:rPr>
          <w:b/>
          <w:bCs/>
        </w:rPr>
      </w:pPr>
      <w:r w:rsidRPr="004B7DB8">
        <w:rPr>
          <w:b/>
          <w:bCs/>
        </w:rPr>
        <w:t>Antecedentes fácticos y jurídicos</w:t>
      </w:r>
    </w:p>
    <w:p w14:paraId="126945C3" w14:textId="77777777" w:rsidR="004B7DB8" w:rsidRPr="004B7DB8" w:rsidRDefault="004B7DB8" w:rsidP="004B7DB8">
      <w:r w:rsidRPr="004B7DB8">
        <w:t xml:space="preserve">La causa se originó a partir de una denuncia formulada por la ARCA contra </w:t>
      </w:r>
      <w:r w:rsidRPr="004B7DB8">
        <w:rPr>
          <w:b/>
          <w:bCs/>
        </w:rPr>
        <w:t>Buenos Aires Arena S.A.</w:t>
      </w:r>
      <w:r w:rsidRPr="004B7DB8">
        <w:t xml:space="preserve"> por una presunta evasión del Impuesto a las Ganancias correspondiente al ejercicio fiscal 2023, por un monto de aproximadamente $ 2.372 millones. Según la denuncia, la sociedad habría incorporado dentro del rubro “ajustes al resultado contable” una actualización de quebrantos impositivos que no estaba permitida por la normativa vigente, generando artificialmente un resultado impositivo negativo. </w:t>
      </w:r>
    </w:p>
    <w:p w14:paraId="6BA611FE" w14:textId="77777777" w:rsidR="004B7DB8" w:rsidRPr="004B7DB8" w:rsidRDefault="004B7DB8" w:rsidP="004B7DB8">
      <w:r w:rsidRPr="004B7DB8">
        <w:t xml:space="preserve">La ARCA sostuvo que la contribuyente presentó la declaración jurada el 15 de mayo de 2024 y, pocos minutos después, acompañó una presentación digital informando expresamente que había actualizado quebrantos impositivos y explicando la metodología utilizada. Esa presentación motivó posteriormente el inicio de una fiscalización. </w:t>
      </w:r>
    </w:p>
    <w:p w14:paraId="5D0D3A67" w14:textId="77777777" w:rsidR="004B7DB8" w:rsidRPr="004B7DB8" w:rsidRDefault="004B7DB8" w:rsidP="004B7DB8">
      <w:r w:rsidRPr="004B7DB8">
        <w:t xml:space="preserve">Desde el punto de vista jurídico, la controversia gira en torno a si la actualización de quebrantos realizada por la contribuyente constituía una maniobra engañosa apta para configurar el delito de evasión tributaria agravada o si, por el contrario, se trataba de una discrepancia interpretativa sobre la normativa aplicable al impuesto. </w:t>
      </w:r>
    </w:p>
    <w:p w14:paraId="5F866871" w14:textId="77777777" w:rsidR="004B7DB8" w:rsidRPr="004B7DB8" w:rsidRDefault="004B7DB8" w:rsidP="004B7DB8">
      <w:pPr>
        <w:rPr>
          <w:b/>
          <w:bCs/>
        </w:rPr>
      </w:pPr>
      <w:r w:rsidRPr="004B7DB8">
        <w:rPr>
          <w:b/>
          <w:bCs/>
        </w:rPr>
        <w:t>Postura de la defensa</w:t>
      </w:r>
    </w:p>
    <w:p w14:paraId="4261ADE3" w14:textId="77777777" w:rsidR="004B7DB8" w:rsidRPr="004B7DB8" w:rsidRDefault="004B7DB8" w:rsidP="004B7DB8">
      <w:r w:rsidRPr="004B7DB8">
        <w:t xml:space="preserve">La defensa planteó una </w:t>
      </w:r>
      <w:r w:rsidRPr="004B7DB8">
        <w:rPr>
          <w:b/>
          <w:bCs/>
        </w:rPr>
        <w:t>excepción de falta de acción por atipicidad</w:t>
      </w:r>
      <w:r w:rsidRPr="004B7DB8">
        <w:t>, sosteniendo que:</w:t>
      </w:r>
    </w:p>
    <w:p w14:paraId="3858BA74" w14:textId="77777777" w:rsidR="004B7DB8" w:rsidRPr="004B7DB8" w:rsidRDefault="004B7DB8" w:rsidP="005227BF">
      <w:pPr>
        <w:numPr>
          <w:ilvl w:val="0"/>
          <w:numId w:val="1"/>
        </w:numPr>
      </w:pPr>
      <w:r w:rsidRPr="004B7DB8">
        <w:t xml:space="preserve">La empresa no ocultó información ni simuló operaciones inexistentes. </w:t>
      </w:r>
    </w:p>
    <w:p w14:paraId="3EF5B794" w14:textId="77777777" w:rsidR="004B7DB8" w:rsidRPr="004B7DB8" w:rsidRDefault="004B7DB8" w:rsidP="005227BF">
      <w:pPr>
        <w:numPr>
          <w:ilvl w:val="0"/>
          <w:numId w:val="1"/>
        </w:numPr>
      </w:pPr>
      <w:r w:rsidRPr="004B7DB8">
        <w:t xml:space="preserve">La actualización de quebrantos fue expresamente informada a la ARCA mediante una presentación digital acompañada a la declaración jurada. </w:t>
      </w:r>
    </w:p>
    <w:p w14:paraId="73906E85" w14:textId="77777777" w:rsidR="004B7DB8" w:rsidRPr="004B7DB8" w:rsidRDefault="004B7DB8" w:rsidP="005227BF">
      <w:pPr>
        <w:numPr>
          <w:ilvl w:val="0"/>
          <w:numId w:val="1"/>
        </w:numPr>
      </w:pPr>
      <w:r w:rsidRPr="004B7DB8">
        <w:t xml:space="preserve">La cuestión debatida es exclusivamente interpretativa y refiere a la procedencia jurídica de la actualización de quebrantos. </w:t>
      </w:r>
    </w:p>
    <w:p w14:paraId="06ECE8A5" w14:textId="77777777" w:rsidR="004B7DB8" w:rsidRPr="004B7DB8" w:rsidRDefault="004B7DB8" w:rsidP="005227BF">
      <w:pPr>
        <w:numPr>
          <w:ilvl w:val="0"/>
          <w:numId w:val="1"/>
        </w:numPr>
      </w:pPr>
      <w:r w:rsidRPr="004B7DB8">
        <w:t xml:space="preserve">Al haber informado el criterio utilizado, no existió engaño, ocultamiento ni ardid, elementos indispensables para el delito de evasión. </w:t>
      </w:r>
    </w:p>
    <w:p w14:paraId="49A5AD06" w14:textId="77777777" w:rsidR="004B7DB8" w:rsidRPr="004B7DB8" w:rsidRDefault="004B7DB8" w:rsidP="004B7DB8">
      <w:r w:rsidRPr="004B7DB8">
        <w:t xml:space="preserve">Asimismo, sostuvo que el caso debía resolverse en el ámbito administrativo-tributario y no mediante una persecución penal. </w:t>
      </w:r>
    </w:p>
    <w:p w14:paraId="73EBAA06" w14:textId="77777777" w:rsidR="004B7DB8" w:rsidRPr="004B7DB8" w:rsidRDefault="004B7DB8" w:rsidP="004B7DB8">
      <w:pPr>
        <w:rPr>
          <w:b/>
          <w:bCs/>
        </w:rPr>
      </w:pPr>
      <w:r w:rsidRPr="004B7DB8">
        <w:rPr>
          <w:b/>
          <w:bCs/>
        </w:rPr>
        <w:t>Postura de la fiscalía</w:t>
      </w:r>
    </w:p>
    <w:p w14:paraId="32E6A922" w14:textId="77777777" w:rsidR="004B7DB8" w:rsidRPr="004B7DB8" w:rsidRDefault="004B7DB8" w:rsidP="004B7DB8">
      <w:r w:rsidRPr="004B7DB8">
        <w:t>El Ministerio Público Fiscal solicitó el rechazo de la excepción. Argumentó que:</w:t>
      </w:r>
    </w:p>
    <w:p w14:paraId="55F3480E" w14:textId="77777777" w:rsidR="004B7DB8" w:rsidRPr="004B7DB8" w:rsidRDefault="004B7DB8" w:rsidP="005227BF">
      <w:pPr>
        <w:numPr>
          <w:ilvl w:val="0"/>
          <w:numId w:val="2"/>
        </w:numPr>
      </w:pPr>
      <w:r w:rsidRPr="004B7DB8">
        <w:t xml:space="preserve">La declaración jurada presentada tenía carácter engañoso porque la actualización de quebrantos fue incorporada dentro del rubro “ajustes al resultado contable” y no en el apartado específico destinado a quebrantos computables. </w:t>
      </w:r>
    </w:p>
    <w:p w14:paraId="71201E98" w14:textId="77777777" w:rsidR="004B7DB8" w:rsidRPr="004B7DB8" w:rsidRDefault="004B7DB8" w:rsidP="005227BF">
      <w:pPr>
        <w:numPr>
          <w:ilvl w:val="0"/>
          <w:numId w:val="2"/>
        </w:numPr>
      </w:pPr>
      <w:r w:rsidRPr="004B7DB8">
        <w:lastRenderedPageBreak/>
        <w:t xml:space="preserve">La presentación digital posterior no eliminaba el carácter engañoso de la declaración jurada. </w:t>
      </w:r>
    </w:p>
    <w:p w14:paraId="7842A16E" w14:textId="77777777" w:rsidR="004B7DB8" w:rsidRPr="004B7DB8" w:rsidRDefault="004B7DB8" w:rsidP="005227BF">
      <w:pPr>
        <w:numPr>
          <w:ilvl w:val="0"/>
          <w:numId w:val="2"/>
        </w:numPr>
      </w:pPr>
      <w:r w:rsidRPr="004B7DB8">
        <w:t xml:space="preserve">La maniobra habría generado un resultado impositivo negativo artificial y un beneficio fiscal indebido. </w:t>
      </w:r>
    </w:p>
    <w:p w14:paraId="2F37EEAD" w14:textId="77777777" w:rsidR="004B7DB8" w:rsidRPr="004B7DB8" w:rsidRDefault="004B7DB8" w:rsidP="005227BF">
      <w:pPr>
        <w:numPr>
          <w:ilvl w:val="0"/>
          <w:numId w:val="2"/>
        </w:numPr>
      </w:pPr>
      <w:r w:rsidRPr="004B7DB8">
        <w:t xml:space="preserve">La determinación acerca de si existió o no evasión requería continuar la investigación y profundizar la prueba. </w:t>
      </w:r>
    </w:p>
    <w:p w14:paraId="1D918B01" w14:textId="689C3CF5" w:rsidR="00847C21" w:rsidRDefault="00847C21" w:rsidP="004B7DB8">
      <w:pPr>
        <w:spacing w:before="100" w:beforeAutospacing="1" w:after="100" w:afterAutospacing="1" w:line="240" w:lineRule="auto"/>
        <w:rPr>
          <w:rFonts w:eastAsia="Times New Roman" w:cstheme="minorHAnsi"/>
          <w:b/>
          <w:bCs/>
          <w:lang w:eastAsia="es-AR"/>
        </w:rPr>
      </w:pPr>
    </w:p>
    <w:p w14:paraId="4CDB7040" w14:textId="255DB056" w:rsidR="00847C21" w:rsidRDefault="00847C21" w:rsidP="004B7DB8">
      <w:pPr>
        <w:spacing w:before="100" w:beforeAutospacing="1" w:after="100" w:afterAutospacing="1" w:line="240" w:lineRule="auto"/>
        <w:rPr>
          <w:rFonts w:eastAsia="Times New Roman" w:cstheme="minorHAnsi"/>
          <w:b/>
          <w:bCs/>
          <w:lang w:eastAsia="es-AR"/>
        </w:rPr>
      </w:pPr>
      <w:r>
        <w:rPr>
          <w:rFonts w:eastAsia="Times New Roman" w:cstheme="minorHAnsi"/>
          <w:b/>
          <w:bCs/>
          <w:lang w:eastAsia="es-AR"/>
        </w:rPr>
        <w:t>Postura de la querella</w:t>
      </w:r>
    </w:p>
    <w:p w14:paraId="0439D98F" w14:textId="77777777" w:rsidR="00847C21" w:rsidRPr="00847C21" w:rsidRDefault="00847C21" w:rsidP="00847C21">
      <w:pPr>
        <w:spacing w:before="100" w:beforeAutospacing="1" w:after="100" w:afterAutospacing="1" w:line="240" w:lineRule="auto"/>
        <w:rPr>
          <w:rFonts w:eastAsia="Times New Roman" w:cstheme="minorHAnsi"/>
          <w:lang w:eastAsia="es-AR"/>
        </w:rPr>
      </w:pPr>
      <w:r w:rsidRPr="00847C21">
        <w:rPr>
          <w:rFonts w:eastAsia="Times New Roman" w:cstheme="minorHAnsi"/>
          <w:lang w:eastAsia="es-AR"/>
        </w:rPr>
        <w:t xml:space="preserve">La querella solicitó el rechazo de la excepción de falta de acción promovida por la defensa. Sostuvo que la declaración jurada presentada por Buenos Aires Arena S.A. era engañosa porque la actualización de quebrantos fue incorporada dentro del rubro “ajustes al resultado contable”, cuando debió reflejarse, en su caso, en el apartado específico de quebrantos computables. </w:t>
      </w:r>
    </w:p>
    <w:p w14:paraId="3A5C0496" w14:textId="77777777" w:rsidR="00847C21" w:rsidRPr="00847C21" w:rsidRDefault="00847C21" w:rsidP="00847C21">
      <w:pPr>
        <w:spacing w:before="100" w:beforeAutospacing="1" w:after="100" w:afterAutospacing="1" w:line="240" w:lineRule="auto"/>
        <w:rPr>
          <w:rFonts w:eastAsia="Times New Roman" w:cstheme="minorHAnsi"/>
          <w:lang w:eastAsia="es-AR"/>
        </w:rPr>
      </w:pPr>
      <w:r w:rsidRPr="00847C21">
        <w:rPr>
          <w:rFonts w:eastAsia="Times New Roman" w:cstheme="minorHAnsi"/>
          <w:lang w:eastAsia="es-AR"/>
        </w:rPr>
        <w:t xml:space="preserve">Argumentó que esa modalidad de registración alteró el resultado impositivo, generando un quebranto fiscal artificial y ocultando la verdadera incidencia de la actualización de quebrantos. Según la querella, la presentación digital efectuada posteriormente por la contribuyente no neutralizaba el carácter engañoso de la declaración jurada ni eliminaba el ardid desplegado. </w:t>
      </w:r>
    </w:p>
    <w:p w14:paraId="7728CCD3" w14:textId="61E402E7" w:rsidR="00847C21" w:rsidRPr="00847C21" w:rsidRDefault="00847C21" w:rsidP="00847C21">
      <w:pPr>
        <w:spacing w:before="100" w:beforeAutospacing="1" w:after="100" w:afterAutospacing="1" w:line="240" w:lineRule="auto"/>
        <w:rPr>
          <w:rFonts w:eastAsia="Times New Roman" w:cstheme="minorHAnsi"/>
          <w:lang w:eastAsia="es-AR"/>
        </w:rPr>
      </w:pPr>
      <w:r w:rsidRPr="00847C21">
        <w:rPr>
          <w:rFonts w:eastAsia="Times New Roman" w:cstheme="minorHAnsi"/>
          <w:lang w:eastAsia="es-AR"/>
        </w:rPr>
        <w:t xml:space="preserve">Asimismo, sostuvo que la conducta encuadraba prima facie en el delito de evasión </w:t>
      </w:r>
      <w:proofErr w:type="gramStart"/>
      <w:r w:rsidRPr="00847C21">
        <w:rPr>
          <w:rFonts w:eastAsia="Times New Roman" w:cstheme="minorHAnsi"/>
          <w:lang w:eastAsia="es-AR"/>
        </w:rPr>
        <w:t>tributaria  y</w:t>
      </w:r>
      <w:proofErr w:type="gramEnd"/>
      <w:r w:rsidRPr="00847C21">
        <w:rPr>
          <w:rFonts w:eastAsia="Times New Roman" w:cstheme="minorHAnsi"/>
          <w:lang w:eastAsia="es-AR"/>
        </w:rPr>
        <w:t xml:space="preserve"> que la cuestión requería una investigación más profunda para determinar la existencia del ardid y del perjuicio fiscal denunciado</w:t>
      </w:r>
    </w:p>
    <w:p w14:paraId="3A6B39D1" w14:textId="77777777" w:rsidR="00847C21" w:rsidRDefault="00847C21" w:rsidP="004B7DB8">
      <w:pPr>
        <w:spacing w:before="100" w:beforeAutospacing="1" w:after="100" w:afterAutospacing="1" w:line="240" w:lineRule="auto"/>
        <w:rPr>
          <w:rFonts w:eastAsia="Times New Roman" w:cstheme="minorHAnsi"/>
          <w:b/>
          <w:bCs/>
          <w:lang w:eastAsia="es-AR"/>
        </w:rPr>
      </w:pPr>
    </w:p>
    <w:p w14:paraId="5F8E879A" w14:textId="738E6FFD" w:rsidR="004B7DB8" w:rsidRPr="00847C21" w:rsidRDefault="00847C21" w:rsidP="004B7DB8">
      <w:pPr>
        <w:spacing w:before="100" w:beforeAutospacing="1" w:after="100" w:afterAutospacing="1" w:line="240" w:lineRule="auto"/>
        <w:rPr>
          <w:rFonts w:eastAsia="Times New Roman" w:cstheme="minorHAnsi"/>
          <w:b/>
          <w:bCs/>
          <w:lang w:eastAsia="es-AR"/>
        </w:rPr>
      </w:pPr>
      <w:r w:rsidRPr="00847C21">
        <w:rPr>
          <w:rFonts w:eastAsia="Times New Roman" w:cstheme="minorHAnsi"/>
          <w:b/>
          <w:bCs/>
          <w:lang w:eastAsia="es-AR"/>
        </w:rPr>
        <w:t>Posición del juez</w:t>
      </w:r>
    </w:p>
    <w:p w14:paraId="2E13818C" w14:textId="7B46A0AA" w:rsidR="004B7DB8" w:rsidRPr="004B7DB8" w:rsidRDefault="004B7DB8" w:rsidP="004B7DB8">
      <w:pPr>
        <w:spacing w:before="100" w:beforeAutospacing="1" w:after="100" w:afterAutospacing="1" w:line="240" w:lineRule="auto"/>
        <w:rPr>
          <w:rFonts w:eastAsia="Times New Roman" w:cstheme="minorHAnsi"/>
          <w:lang w:eastAsia="es-AR"/>
        </w:rPr>
      </w:pPr>
      <w:r w:rsidRPr="004B7DB8">
        <w:rPr>
          <w:rFonts w:eastAsia="Times New Roman" w:cstheme="minorHAnsi"/>
          <w:lang w:eastAsia="es-AR"/>
        </w:rPr>
        <w:t xml:space="preserve">El juez </w:t>
      </w:r>
      <w:r w:rsidRPr="004B7DB8">
        <w:rPr>
          <w:rFonts w:eastAsia="Times New Roman" w:cstheme="minorHAnsi"/>
          <w:b/>
          <w:bCs/>
          <w:lang w:eastAsia="es-AR"/>
        </w:rPr>
        <w:t>Marcelo Ignacio Aguinsky</w:t>
      </w:r>
      <w:r w:rsidRPr="004B7DB8">
        <w:rPr>
          <w:rFonts w:eastAsia="Times New Roman" w:cstheme="minorHAnsi"/>
          <w:lang w:eastAsia="es-AR"/>
        </w:rPr>
        <w:t xml:space="preserve"> hizo lugar a la excepción de falta de acción y dispuso el archivo de las actuaciones. </w:t>
      </w:r>
    </w:p>
    <w:p w14:paraId="3D5D9B5F" w14:textId="77777777" w:rsidR="004B7DB8" w:rsidRPr="004B7DB8" w:rsidRDefault="004B7DB8" w:rsidP="004B7DB8">
      <w:pPr>
        <w:spacing w:before="100" w:beforeAutospacing="1" w:after="100" w:afterAutospacing="1" w:line="240" w:lineRule="auto"/>
        <w:rPr>
          <w:rFonts w:eastAsia="Times New Roman" w:cstheme="minorHAnsi"/>
          <w:lang w:eastAsia="es-AR"/>
        </w:rPr>
      </w:pPr>
      <w:r w:rsidRPr="004B7DB8">
        <w:rPr>
          <w:rFonts w:eastAsia="Times New Roman" w:cstheme="minorHAnsi"/>
          <w:lang w:eastAsia="es-AR"/>
        </w:rPr>
        <w:t>Para decidir de ese modo consideró que:</w:t>
      </w:r>
    </w:p>
    <w:p w14:paraId="4B1E583D" w14:textId="77777777" w:rsidR="004B7DB8" w:rsidRPr="004B7DB8" w:rsidRDefault="004B7DB8" w:rsidP="005227BF">
      <w:pPr>
        <w:numPr>
          <w:ilvl w:val="0"/>
          <w:numId w:val="3"/>
        </w:numPr>
        <w:spacing w:before="100" w:beforeAutospacing="1" w:after="100" w:afterAutospacing="1" w:line="240" w:lineRule="auto"/>
        <w:rPr>
          <w:rFonts w:eastAsia="Times New Roman" w:cstheme="minorHAnsi"/>
          <w:lang w:eastAsia="es-AR"/>
        </w:rPr>
      </w:pPr>
      <w:r w:rsidRPr="004B7DB8">
        <w:rPr>
          <w:rFonts w:eastAsia="Times New Roman" w:cstheme="minorHAnsi"/>
          <w:lang w:eastAsia="es-AR"/>
        </w:rPr>
        <w:t xml:space="preserve">La propia contribuyente informó a la ARCA, en forma prácticamente simultánea con la presentación de la declaración jurada, que había actualizado quebrantos y explicó el criterio utilizado. </w:t>
      </w:r>
    </w:p>
    <w:p w14:paraId="662BF5FF" w14:textId="77777777" w:rsidR="004B7DB8" w:rsidRPr="004B7DB8" w:rsidRDefault="004B7DB8" w:rsidP="005227BF">
      <w:pPr>
        <w:numPr>
          <w:ilvl w:val="0"/>
          <w:numId w:val="3"/>
        </w:numPr>
        <w:spacing w:before="100" w:beforeAutospacing="1" w:after="100" w:afterAutospacing="1" w:line="240" w:lineRule="auto"/>
        <w:rPr>
          <w:rFonts w:eastAsia="Times New Roman" w:cstheme="minorHAnsi"/>
          <w:lang w:eastAsia="es-AR"/>
        </w:rPr>
      </w:pPr>
      <w:r w:rsidRPr="004B7DB8">
        <w:rPr>
          <w:rFonts w:eastAsia="Times New Roman" w:cstheme="minorHAnsi"/>
          <w:lang w:eastAsia="es-AR"/>
        </w:rPr>
        <w:t xml:space="preserve">La controversia existente entre la empresa y la ARCA versa sobre la interpretación y aplicación de normas tributarias, no sobre la existencia de hechos falsos o datos ocultados. </w:t>
      </w:r>
    </w:p>
    <w:p w14:paraId="3F892FAC" w14:textId="77777777" w:rsidR="004B7DB8" w:rsidRPr="004B7DB8" w:rsidRDefault="004B7DB8" w:rsidP="005227BF">
      <w:pPr>
        <w:numPr>
          <w:ilvl w:val="0"/>
          <w:numId w:val="3"/>
        </w:numPr>
        <w:spacing w:before="100" w:beforeAutospacing="1" w:after="100" w:afterAutospacing="1" w:line="240" w:lineRule="auto"/>
        <w:rPr>
          <w:rFonts w:eastAsia="Times New Roman" w:cstheme="minorHAnsi"/>
          <w:lang w:eastAsia="es-AR"/>
        </w:rPr>
      </w:pPr>
      <w:r w:rsidRPr="004B7DB8">
        <w:rPr>
          <w:rFonts w:eastAsia="Times New Roman" w:cstheme="minorHAnsi"/>
          <w:lang w:eastAsia="es-AR"/>
        </w:rPr>
        <w:t xml:space="preserve">No se verificó, con el grado de evidencia exigido para sostener una imputación penal, la existencia de un ardid o engaño dirigido a inducir a error al Fisco. </w:t>
      </w:r>
    </w:p>
    <w:p w14:paraId="0CF6B2E1" w14:textId="77777777" w:rsidR="004B7DB8" w:rsidRPr="004B7DB8" w:rsidRDefault="004B7DB8" w:rsidP="005227BF">
      <w:pPr>
        <w:numPr>
          <w:ilvl w:val="0"/>
          <w:numId w:val="3"/>
        </w:numPr>
        <w:spacing w:before="100" w:beforeAutospacing="1" w:after="100" w:afterAutospacing="1" w:line="240" w:lineRule="auto"/>
        <w:rPr>
          <w:rFonts w:eastAsia="Times New Roman" w:cstheme="minorHAnsi"/>
          <w:lang w:eastAsia="es-AR"/>
        </w:rPr>
      </w:pPr>
      <w:r w:rsidRPr="004B7DB8">
        <w:rPr>
          <w:rFonts w:eastAsia="Times New Roman" w:cstheme="minorHAnsi"/>
          <w:lang w:eastAsia="es-AR"/>
        </w:rPr>
        <w:t xml:space="preserve">La información aportada por la ARCA resultaba insuficiente para avanzar con una causa penal por evasión. </w:t>
      </w:r>
    </w:p>
    <w:p w14:paraId="6F390999" w14:textId="77777777" w:rsidR="004B7DB8" w:rsidRPr="004B7DB8" w:rsidRDefault="004B7DB8" w:rsidP="004B7DB8">
      <w:pPr>
        <w:spacing w:before="100" w:beforeAutospacing="1" w:after="100" w:afterAutospacing="1" w:line="240" w:lineRule="auto"/>
        <w:rPr>
          <w:rFonts w:eastAsia="Times New Roman" w:cstheme="minorHAnsi"/>
          <w:lang w:eastAsia="es-AR"/>
        </w:rPr>
      </w:pPr>
      <w:r w:rsidRPr="004B7DB8">
        <w:rPr>
          <w:rFonts w:eastAsia="Times New Roman" w:cstheme="minorHAnsi"/>
          <w:lang w:eastAsia="es-AR"/>
        </w:rPr>
        <w:t xml:space="preserve">En consecuencia, el magistrado concluyó que no podía proseguirse la acción penal por evasión tributaria y ordenó el archivo del proceso. No obstante, dejó expresamente aclarado que ello </w:t>
      </w:r>
      <w:r w:rsidRPr="004B7DB8">
        <w:rPr>
          <w:rFonts w:eastAsia="Times New Roman" w:cstheme="minorHAnsi"/>
          <w:lang w:eastAsia="es-AR"/>
        </w:rPr>
        <w:lastRenderedPageBreak/>
        <w:t xml:space="preserve">no impedía que la ARCA analizara la eventual existencia de infracciones administrativas tributarias. </w:t>
      </w:r>
    </w:p>
    <w:p w14:paraId="544AACC8" w14:textId="344FA165" w:rsidR="004B7DB8" w:rsidRDefault="004B7DB8" w:rsidP="00A245F2"/>
    <w:p w14:paraId="6DEF78A1" w14:textId="1BDA67C9" w:rsidR="003F0828" w:rsidRPr="004D225C" w:rsidRDefault="003F0828" w:rsidP="00A245F2">
      <w:pPr>
        <w:rPr>
          <w:sz w:val="36"/>
          <w:szCs w:val="36"/>
        </w:rPr>
      </w:pPr>
      <w:r w:rsidRPr="004D225C">
        <w:rPr>
          <w:sz w:val="36"/>
          <w:szCs w:val="36"/>
        </w:rPr>
        <w:t>FALLO II</w:t>
      </w:r>
    </w:p>
    <w:p w14:paraId="3C376B8C" w14:textId="77777777" w:rsidR="003F0828" w:rsidRPr="003F0828" w:rsidRDefault="003F0828" w:rsidP="003F0828">
      <w:r w:rsidRPr="003F0828">
        <w:rPr>
          <w:b/>
          <w:bCs/>
        </w:rPr>
        <w:t>Autos:</w:t>
      </w:r>
      <w:r w:rsidRPr="003F0828">
        <w:t xml:space="preserve"> “Vallejo, Ignacio y otros s/ legajo de apelación”.</w:t>
      </w:r>
      <w:r w:rsidRPr="003F0828">
        <w:br/>
      </w:r>
      <w:r w:rsidRPr="003F0828">
        <w:rPr>
          <w:b/>
          <w:bCs/>
        </w:rPr>
        <w:t>Tribunal:</w:t>
      </w:r>
      <w:r w:rsidRPr="003F0828">
        <w:t xml:space="preserve"> Cámara Federal de Apelaciones de Mar del Plata.</w:t>
      </w:r>
      <w:r w:rsidRPr="003F0828">
        <w:br/>
      </w:r>
      <w:r w:rsidRPr="003F0828">
        <w:rPr>
          <w:b/>
          <w:bCs/>
        </w:rPr>
        <w:t>Fecha de resolución:</w:t>
      </w:r>
      <w:r w:rsidRPr="003F0828">
        <w:t xml:space="preserve"> 11 de mayo de 2026.</w:t>
      </w:r>
      <w:r w:rsidRPr="003F0828">
        <w:br/>
      </w:r>
      <w:r w:rsidRPr="003F0828">
        <w:rPr>
          <w:b/>
          <w:bCs/>
        </w:rPr>
        <w:t>Integración:</w:t>
      </w:r>
      <w:r w:rsidRPr="003F0828">
        <w:t xml:space="preserve"> jueces Eduardo Pablo Jiménez y Alejandro Osvaldo Tazza. </w:t>
      </w:r>
    </w:p>
    <w:p w14:paraId="3525AC0F" w14:textId="77777777" w:rsidR="003F0828" w:rsidRPr="003F0828" w:rsidRDefault="003F0828" w:rsidP="003F0828">
      <w:pPr>
        <w:rPr>
          <w:b/>
          <w:bCs/>
        </w:rPr>
      </w:pPr>
      <w:r w:rsidRPr="003F0828">
        <w:rPr>
          <w:b/>
          <w:bCs/>
        </w:rPr>
        <w:t>Antecedentes fácticos y jurídicos</w:t>
      </w:r>
    </w:p>
    <w:p w14:paraId="014678E5" w14:textId="77777777" w:rsidR="003F0828" w:rsidRPr="003F0828" w:rsidRDefault="003F0828" w:rsidP="003F0828">
      <w:r w:rsidRPr="003F0828">
        <w:t xml:space="preserve">La investigación se inició a raíz de una denuncia formulada el 14 de junio de 2017 por una persona identificada como “E.B.”, quien manifestó que no había podido recuperar un depósito de USD 27.000 efectuado en Jonestur en el año 2014 debido al bloqueo y posterior confiscación de cuentas que la firma poseía en Andorra. A partir de ello se desarrolló una investigación penal que culminó con las indagatorias de Eduardo Eleicegui, Eliseo Eleicegui, Claudia Eleicegui, Catie Noemí Policano e Ignacio Vallejo. </w:t>
      </w:r>
    </w:p>
    <w:p w14:paraId="07989A93" w14:textId="77777777" w:rsidR="003F0828" w:rsidRPr="003F0828" w:rsidRDefault="003F0828" w:rsidP="003F0828">
      <w:r w:rsidRPr="003F0828">
        <w:t xml:space="preserve">El juez de primera instancia dictó el procesamiento de todos los imputados por el delito de lavado de activos agravado por habitualidad y por integración de una asociación o banda destinada a la comisión continuada de esos hechos. Respecto de Ignacio Vallejo se mantuvo únicamente la agravante de habitualidad. </w:t>
      </w:r>
    </w:p>
    <w:p w14:paraId="046EA16B" w14:textId="77777777" w:rsidR="003F0828" w:rsidRPr="003F0828" w:rsidRDefault="003F0828" w:rsidP="003F0828">
      <w:r w:rsidRPr="003F0828">
        <w:t xml:space="preserve">La hipótesis acusatoria sostenía que, desde el año 2014, los imputados habrían puesto en circulación bienes provenientes principalmente de infracciones al régimen penal cambiario (ley 19.359), evasiones tributarias e intermediación financiera no autorizada, procurando otorgarles apariencia de licitud mediante diversas operaciones comerciales. </w:t>
      </w:r>
    </w:p>
    <w:p w14:paraId="233344B3" w14:textId="77777777" w:rsidR="003F0828" w:rsidRPr="003F0828" w:rsidRDefault="003F0828" w:rsidP="003F0828">
      <w:r w:rsidRPr="003F0828">
        <w:t xml:space="preserve">Desde el punto de vista jurídico, el eje central de la discusión fue la acreditación del delito precedente. La Cámara recordó que el lavado de activos exige demostrar la existencia de un ilícito previo y un nexo causal entre ese delito y los bienes que constituyen el objeto del lavado. Aunque no sea necesaria una condena firme por el delito precedente, sí resulta indispensable individualizar razonablemente la actividad ilícita generadora de los activos y acreditar su vinculación con las maniobras investigadas. </w:t>
      </w:r>
    </w:p>
    <w:p w14:paraId="00DF596A" w14:textId="77777777" w:rsidR="003F0828" w:rsidRPr="003F0828" w:rsidRDefault="003F0828" w:rsidP="003F0828">
      <w:pPr>
        <w:rPr>
          <w:b/>
          <w:bCs/>
        </w:rPr>
      </w:pPr>
      <w:r w:rsidRPr="003F0828">
        <w:rPr>
          <w:b/>
          <w:bCs/>
        </w:rPr>
        <w:t>Postura de las defensas</w:t>
      </w:r>
    </w:p>
    <w:p w14:paraId="1375F331" w14:textId="77777777" w:rsidR="003F0828" w:rsidRPr="003F0828" w:rsidRDefault="003F0828" w:rsidP="003F0828">
      <w:r w:rsidRPr="003F0828">
        <w:t>Las defensas cuestionaron los procesamientos por múltiples motivos:</w:t>
      </w:r>
    </w:p>
    <w:p w14:paraId="2EFF590F" w14:textId="77777777" w:rsidR="003F0828" w:rsidRPr="003F0828" w:rsidRDefault="003F0828" w:rsidP="005227BF">
      <w:pPr>
        <w:numPr>
          <w:ilvl w:val="0"/>
          <w:numId w:val="4"/>
        </w:numPr>
      </w:pPr>
      <w:r w:rsidRPr="003F0828">
        <w:t xml:space="preserve">Violación del derecho de defensa y del plazo razonable. </w:t>
      </w:r>
    </w:p>
    <w:p w14:paraId="15086F44" w14:textId="77777777" w:rsidR="003F0828" w:rsidRPr="003F0828" w:rsidRDefault="003F0828" w:rsidP="005227BF">
      <w:pPr>
        <w:numPr>
          <w:ilvl w:val="0"/>
          <w:numId w:val="4"/>
        </w:numPr>
      </w:pPr>
      <w:r w:rsidRPr="003F0828">
        <w:t xml:space="preserve">Falta de motivación de la resolución. </w:t>
      </w:r>
    </w:p>
    <w:p w14:paraId="7FA13CDF" w14:textId="77777777" w:rsidR="003F0828" w:rsidRPr="003F0828" w:rsidRDefault="003F0828" w:rsidP="005227BF">
      <w:pPr>
        <w:numPr>
          <w:ilvl w:val="0"/>
          <w:numId w:val="4"/>
        </w:numPr>
      </w:pPr>
      <w:r w:rsidRPr="003F0828">
        <w:t xml:space="preserve">Atipicidad de las conductas atribuidas. </w:t>
      </w:r>
    </w:p>
    <w:p w14:paraId="67A9278D" w14:textId="77777777" w:rsidR="003F0828" w:rsidRPr="003F0828" w:rsidRDefault="003F0828" w:rsidP="005227BF">
      <w:pPr>
        <w:numPr>
          <w:ilvl w:val="0"/>
          <w:numId w:val="4"/>
        </w:numPr>
      </w:pPr>
      <w:r w:rsidRPr="003F0828">
        <w:t xml:space="preserve">Falta de acreditación del delito precedente. </w:t>
      </w:r>
    </w:p>
    <w:p w14:paraId="5F5F45D4" w14:textId="77777777" w:rsidR="003F0828" w:rsidRPr="003F0828" w:rsidRDefault="003F0828" w:rsidP="005227BF">
      <w:pPr>
        <w:numPr>
          <w:ilvl w:val="0"/>
          <w:numId w:val="4"/>
        </w:numPr>
      </w:pPr>
      <w:r w:rsidRPr="003F0828">
        <w:t xml:space="preserve">Ausencia de determinación del dinero presuntamente lavado. </w:t>
      </w:r>
    </w:p>
    <w:p w14:paraId="6506CEA6" w14:textId="77777777" w:rsidR="003F0828" w:rsidRPr="003F0828" w:rsidRDefault="003F0828" w:rsidP="005227BF">
      <w:pPr>
        <w:numPr>
          <w:ilvl w:val="0"/>
          <w:numId w:val="4"/>
        </w:numPr>
      </w:pPr>
      <w:r w:rsidRPr="003F0828">
        <w:t xml:space="preserve">Violación del principio de congruencia. </w:t>
      </w:r>
    </w:p>
    <w:p w14:paraId="5132A114" w14:textId="77777777" w:rsidR="003F0828" w:rsidRPr="003F0828" w:rsidRDefault="003F0828" w:rsidP="005227BF">
      <w:pPr>
        <w:numPr>
          <w:ilvl w:val="0"/>
          <w:numId w:val="4"/>
        </w:numPr>
      </w:pPr>
      <w:r w:rsidRPr="003F0828">
        <w:t xml:space="preserve">Arbitraria valoración de la prueba. </w:t>
      </w:r>
    </w:p>
    <w:p w14:paraId="1E5A4FE3" w14:textId="77777777" w:rsidR="003F0828" w:rsidRPr="003F0828" w:rsidRDefault="003F0828" w:rsidP="005227BF">
      <w:pPr>
        <w:numPr>
          <w:ilvl w:val="0"/>
          <w:numId w:val="4"/>
        </w:numPr>
      </w:pPr>
      <w:r w:rsidRPr="003F0828">
        <w:lastRenderedPageBreak/>
        <w:t xml:space="preserve">Apartamiento de precedentes jurisprudenciales. </w:t>
      </w:r>
    </w:p>
    <w:p w14:paraId="09B78638" w14:textId="77777777" w:rsidR="003F0828" w:rsidRPr="003F0828" w:rsidRDefault="003F0828" w:rsidP="003F0828">
      <w:r w:rsidRPr="003F0828">
        <w:t xml:space="preserve">Particularmente insistieron en que la acusación no identificaba concretamente qué delito previo habría generado los fondos, ni precisaba circunstancias de tiempo, modo y lugar suficientes para sostener una imputación compatible con las garantías constitucionales. </w:t>
      </w:r>
    </w:p>
    <w:p w14:paraId="60A4C225" w14:textId="77777777" w:rsidR="003F0828" w:rsidRPr="003F0828" w:rsidRDefault="003F0828" w:rsidP="003F0828">
      <w:pPr>
        <w:rPr>
          <w:b/>
          <w:bCs/>
        </w:rPr>
      </w:pPr>
      <w:r w:rsidRPr="003F0828">
        <w:rPr>
          <w:b/>
          <w:bCs/>
        </w:rPr>
        <w:t>Postura de la fiscalía</w:t>
      </w:r>
    </w:p>
    <w:p w14:paraId="2BB9014D" w14:textId="77777777" w:rsidR="003F0828" w:rsidRPr="003F0828" w:rsidRDefault="003F0828" w:rsidP="003F0828">
      <w:r w:rsidRPr="003F0828">
        <w:t xml:space="preserve">El Ministerio Público Fiscal no emitió opinión durante el trámite de apelación. Por ello, la Cámara resolvió sobre la base de los agravios defensivos y de los antecedentes obrantes en la causa. </w:t>
      </w:r>
    </w:p>
    <w:p w14:paraId="7373A41D" w14:textId="77777777" w:rsidR="003F0828" w:rsidRPr="003F0828" w:rsidRDefault="003F0828" w:rsidP="003F0828">
      <w:pPr>
        <w:rPr>
          <w:b/>
          <w:bCs/>
        </w:rPr>
      </w:pPr>
      <w:r w:rsidRPr="003F0828">
        <w:rPr>
          <w:b/>
          <w:bCs/>
        </w:rPr>
        <w:t>Querella</w:t>
      </w:r>
    </w:p>
    <w:p w14:paraId="366BCEC4" w14:textId="77777777" w:rsidR="003F0828" w:rsidRPr="003F0828" w:rsidRDefault="003F0828" w:rsidP="003F0828">
      <w:r w:rsidRPr="003F0828">
        <w:t xml:space="preserve">De la resolución no surge la participación ni la actuación de una querella durante el trámite recursivo analizado. La sentencia únicamente menciona las apelaciones de las defensas y la ausencia de dictamen fiscal. </w:t>
      </w:r>
    </w:p>
    <w:p w14:paraId="60E81423" w14:textId="77777777" w:rsidR="003F0828" w:rsidRPr="003F0828" w:rsidRDefault="003F0828" w:rsidP="003F0828">
      <w:pPr>
        <w:rPr>
          <w:b/>
          <w:bCs/>
        </w:rPr>
      </w:pPr>
      <w:r w:rsidRPr="003F0828">
        <w:rPr>
          <w:b/>
          <w:bCs/>
        </w:rPr>
        <w:t>Posición de la Cámara</w:t>
      </w:r>
    </w:p>
    <w:p w14:paraId="425961E0" w14:textId="77777777" w:rsidR="003F0828" w:rsidRPr="003F0828" w:rsidRDefault="003F0828" w:rsidP="003F0828">
      <w:r w:rsidRPr="003F0828">
        <w:t xml:space="preserve">Los jueces Jiménez y Tazza coincidieron en que el procesamiento no podía mantenerse porque la acusación no había acreditado adecuadamente el delito precedente ni el nexo causal exigido por el artículo 303 del Código Penal. </w:t>
      </w:r>
    </w:p>
    <w:p w14:paraId="7A0C9C13" w14:textId="77777777" w:rsidR="003F0828" w:rsidRPr="003F0828" w:rsidRDefault="003F0828" w:rsidP="003F0828">
      <w:r w:rsidRPr="003F0828">
        <w:t>El tribunal sostuvo que:</w:t>
      </w:r>
    </w:p>
    <w:p w14:paraId="50CC6C9A" w14:textId="77777777" w:rsidR="003F0828" w:rsidRPr="003F0828" w:rsidRDefault="003F0828" w:rsidP="005227BF">
      <w:pPr>
        <w:numPr>
          <w:ilvl w:val="0"/>
          <w:numId w:val="5"/>
        </w:numPr>
      </w:pPr>
      <w:r w:rsidRPr="003F0828">
        <w:t xml:space="preserve">La imputación describía de manera genérica posibles infracciones cambiarias, tributarias y financieras, pero no individualizaba cuál era concretamente el delito precedente. </w:t>
      </w:r>
    </w:p>
    <w:p w14:paraId="4D6F38C5" w14:textId="77777777" w:rsidR="003F0828" w:rsidRPr="003F0828" w:rsidRDefault="003F0828" w:rsidP="005227BF">
      <w:pPr>
        <w:numPr>
          <w:ilvl w:val="0"/>
          <w:numId w:val="5"/>
        </w:numPr>
      </w:pPr>
      <w:r w:rsidRPr="003F0828">
        <w:t xml:space="preserve">No existía una adecuada determinación temporal ni una trazabilidad suficiente de los activos presuntamente ilícitos. </w:t>
      </w:r>
    </w:p>
    <w:p w14:paraId="3EE1BBD4" w14:textId="77777777" w:rsidR="003F0828" w:rsidRPr="003F0828" w:rsidRDefault="003F0828" w:rsidP="005227BF">
      <w:pPr>
        <w:numPr>
          <w:ilvl w:val="0"/>
          <w:numId w:val="5"/>
        </w:numPr>
      </w:pPr>
      <w:r w:rsidRPr="003F0828">
        <w:t xml:space="preserve">La mera existencia de movimientos económicos o incrementos patrimoniales no permite presumir el origen ilícito de los bienes. </w:t>
      </w:r>
    </w:p>
    <w:p w14:paraId="74EF7AD2" w14:textId="77777777" w:rsidR="003F0828" w:rsidRPr="003F0828" w:rsidRDefault="003F0828" w:rsidP="005227BF">
      <w:pPr>
        <w:numPr>
          <w:ilvl w:val="0"/>
          <w:numId w:val="5"/>
        </w:numPr>
      </w:pPr>
      <w:r w:rsidRPr="003F0828">
        <w:t xml:space="preserve">La acusación vulneraba el derecho de defensa al no identificar con precisión el hecho precedente ni las circunstancias esenciales de la imputación. </w:t>
      </w:r>
    </w:p>
    <w:p w14:paraId="2247BD15" w14:textId="77777777" w:rsidR="003F0828" w:rsidRPr="003F0828" w:rsidRDefault="003F0828" w:rsidP="005227BF">
      <w:pPr>
        <w:numPr>
          <w:ilvl w:val="0"/>
          <w:numId w:val="5"/>
        </w:numPr>
      </w:pPr>
      <w:r w:rsidRPr="003F0828">
        <w:t xml:space="preserve">El delito de lavado posee autonomía procesal, pero no autonomía sustantiva respecto del delito precedente, cuya acreditación constituye un elemento objetivo indispensable del tipo penal. </w:t>
      </w:r>
    </w:p>
    <w:p w14:paraId="352D8C98" w14:textId="77777777" w:rsidR="003F0828" w:rsidRPr="003F0828" w:rsidRDefault="003F0828" w:rsidP="003F0828">
      <w:r w:rsidRPr="003F0828">
        <w:t xml:space="preserve">Asimismo, en carácter de obiter dictum, la Cámara consideró que asistía razón a las defensas respecto de la afectación al plazo razonable, la deficiente descripción de los hechos y la insuficiente fundamentación del procesamiento. </w:t>
      </w:r>
    </w:p>
    <w:p w14:paraId="2F778560" w14:textId="77777777" w:rsidR="003F0828" w:rsidRPr="003F0828" w:rsidRDefault="003F0828" w:rsidP="003F0828">
      <w:pPr>
        <w:rPr>
          <w:b/>
          <w:bCs/>
        </w:rPr>
      </w:pPr>
      <w:r w:rsidRPr="003F0828">
        <w:rPr>
          <w:b/>
          <w:bCs/>
        </w:rPr>
        <w:t>Resolución</w:t>
      </w:r>
    </w:p>
    <w:p w14:paraId="17448BC5" w14:textId="77777777" w:rsidR="003F0828" w:rsidRPr="003F0828" w:rsidRDefault="003F0828" w:rsidP="003F0828">
      <w:r w:rsidRPr="003F0828">
        <w:t>La Cámara Federal de Mar del Plata hizo lugar a las apelaciones, revocó los procesamientos dictados contra Eduardo Eleicegui, Eliseo Eleicegui, Claudia Eleicegui, Catie Noemí Policano e Ignacio Vallejo, dispuso la falta de mérito para procesar o sobreseer a los imputados y ordenó continuar la investigación a fin de precisar los extremos necesarios para una imputación válida. También dejó sin efecto las medidas cautelares reales que habían sido impuestas.</w:t>
      </w:r>
    </w:p>
    <w:p w14:paraId="5FF786A9" w14:textId="1F6E1E8F" w:rsidR="00052228" w:rsidRDefault="00052228" w:rsidP="00A245F2"/>
    <w:p w14:paraId="5E971A15" w14:textId="41C17A9A" w:rsidR="00E34784" w:rsidRPr="004D225C" w:rsidRDefault="0092317F" w:rsidP="00A245F2">
      <w:pPr>
        <w:rPr>
          <w:sz w:val="36"/>
          <w:szCs w:val="36"/>
        </w:rPr>
      </w:pPr>
      <w:r w:rsidRPr="004D225C">
        <w:rPr>
          <w:sz w:val="36"/>
          <w:szCs w:val="36"/>
        </w:rPr>
        <w:lastRenderedPageBreak/>
        <w:t>FALLO III</w:t>
      </w:r>
    </w:p>
    <w:p w14:paraId="164BDCA9" w14:textId="77777777" w:rsidR="00E34784" w:rsidRPr="00E34784" w:rsidRDefault="00E34784" w:rsidP="00E34784">
      <w:r w:rsidRPr="00E34784">
        <w:rPr>
          <w:b/>
          <w:bCs/>
        </w:rPr>
        <w:t>Autos:</w:t>
      </w:r>
      <w:r w:rsidRPr="00E34784">
        <w:t xml:space="preserve"> “Herrera, Cristian Eduardo y otros s/ Infracción Ley 24.769 – Asociación Ilícita Fiscal – Evasión Agravada” (Expte. N.º FCB 39955/2019/TO1).</w:t>
      </w:r>
      <w:r w:rsidRPr="00E34784">
        <w:br/>
      </w:r>
      <w:r w:rsidRPr="00E34784">
        <w:rPr>
          <w:b/>
          <w:bCs/>
        </w:rPr>
        <w:t>Tribunal:</w:t>
      </w:r>
      <w:r w:rsidRPr="00E34784">
        <w:t xml:space="preserve"> Tribunal Oral Federal de Córdoba N° 1.</w:t>
      </w:r>
      <w:r w:rsidRPr="00E34784">
        <w:br/>
      </w:r>
      <w:r w:rsidRPr="00E34784">
        <w:rPr>
          <w:b/>
          <w:bCs/>
        </w:rPr>
        <w:t>Fecha de resolución:</w:t>
      </w:r>
      <w:r w:rsidRPr="00E34784">
        <w:t xml:space="preserve"> 8 de junio de 2026.</w:t>
      </w:r>
      <w:r w:rsidRPr="00E34784">
        <w:br/>
      </w:r>
      <w:r w:rsidRPr="00E34784">
        <w:rPr>
          <w:b/>
          <w:bCs/>
        </w:rPr>
        <w:t>Magistrados intervinientes:</w:t>
      </w:r>
      <w:r w:rsidRPr="00E34784">
        <w:t xml:space="preserve"> José Fabián Asís y Julián Falcucci. </w:t>
      </w:r>
    </w:p>
    <w:p w14:paraId="775D01DA" w14:textId="77777777" w:rsidR="00E34784" w:rsidRPr="00E34784" w:rsidRDefault="00E34784" w:rsidP="00E34784">
      <w:pPr>
        <w:rPr>
          <w:b/>
          <w:bCs/>
        </w:rPr>
      </w:pPr>
      <w:r w:rsidRPr="00E34784">
        <w:rPr>
          <w:b/>
          <w:bCs/>
        </w:rPr>
        <w:t>Antecedentes fácticos y jurídicos</w:t>
      </w:r>
    </w:p>
    <w:p w14:paraId="461D0CD1" w14:textId="77777777" w:rsidR="00E34784" w:rsidRPr="00E34784" w:rsidRDefault="00E34784" w:rsidP="00E34784">
      <w:r w:rsidRPr="00E34784">
        <w:t xml:space="preserve">La resolución se dicta como consecuencia de una sentencia previa de la Sala I de la Cámara Federal de Casación Penal de fecha 19 de marzo de 2026, que había hecho lugar a recursos de casación, dejado sin efecto una resolución anterior del Tribunal Oral y ordenado el dictado de un nuevo pronunciamiento conforme a los lineamientos fijados por el tribunal revisor. </w:t>
      </w:r>
    </w:p>
    <w:p w14:paraId="63819B3F" w14:textId="77777777" w:rsidR="00E34784" w:rsidRPr="00E34784" w:rsidRDefault="00E34784" w:rsidP="00E34784">
      <w:r w:rsidRPr="00E34784">
        <w:t xml:space="preserve">A partir de ello, la defensa de Cristian Eduardo Herrera, Ignacio Guillermo Herrera y Micaela Schörnig solicitó el sobreseimiento de sus asistidos por extinción de la acción penal, invocando la adhesión al régimen previsto por la Ley 27.743 y su Decreto Reglamentario 608/2024. </w:t>
      </w:r>
    </w:p>
    <w:p w14:paraId="7E2D9A3F" w14:textId="77777777" w:rsidR="00E34784" w:rsidRPr="00E34784" w:rsidRDefault="00E34784" w:rsidP="00E34784">
      <w:r w:rsidRPr="00E34784">
        <w:t xml:space="preserve">Los imputados se encontraban elevados a juicio por el delito de </w:t>
      </w:r>
      <w:r w:rsidRPr="00E34784">
        <w:rPr>
          <w:b/>
          <w:bCs/>
        </w:rPr>
        <w:t>asociación ilícita fiscal</w:t>
      </w:r>
      <w:r w:rsidRPr="00E34784">
        <w:t xml:space="preserve"> previsto en el artículo 15 inciso c) del Régimen Penal Tributario, atribuyéndoseles haber actuado como organizadores o integrantes de una estructura destinada a la comisión de delitos tributarios. </w:t>
      </w:r>
    </w:p>
    <w:p w14:paraId="36836556" w14:textId="77777777" w:rsidR="00E34784" w:rsidRPr="00E34784" w:rsidRDefault="00E34784" w:rsidP="00E34784">
      <w:r w:rsidRPr="00E34784">
        <w:t xml:space="preserve">El antecedente jurídico inmediato era una resolución del propio Tribunal Oral del 20 de noviembre de 2024 que, por mayoría, había declarado la inconstitucionalidad del artículo 1 del Decreto 608/2024 en cuanto incluía la asociación ilícita fiscal dentro de los beneficios del régimen de regularización y, por esa razón, había rechazado el pedido de sobreseimiento formulado por las defensas. </w:t>
      </w:r>
    </w:p>
    <w:p w14:paraId="69D37738" w14:textId="77777777" w:rsidR="00E34784" w:rsidRPr="00E34784" w:rsidRDefault="00E34784" w:rsidP="00E34784">
      <w:r w:rsidRPr="00E34784">
        <w:t xml:space="preserve">Sin embargo, esa decisión fue revocada por la Cámara Federal de Casación Penal, que dejó sin efecto tanto la declaración de inconstitucionalidad como el rechazo del sobreseimiento y ordenó el dictado de un nuevo pronunciamiento. </w:t>
      </w:r>
    </w:p>
    <w:p w14:paraId="70919D85" w14:textId="77777777" w:rsidR="00E34784" w:rsidRPr="00E34784" w:rsidRDefault="00E34784" w:rsidP="00E34784">
      <w:r w:rsidRPr="00E34784">
        <w:t xml:space="preserve">El Tribunal examinó entonces el alcance de la Ley 27.743 (“Medidas Fiscales Paliativas y Relevantes”), particularmente su Título I, que prevé la extinción de la acción penal cuando se produzca la cancelación total de las obligaciones tributarias en las condiciones establecidas por la norma. </w:t>
      </w:r>
      <w:proofErr w:type="gramStart"/>
      <w:r w:rsidRPr="00E34784">
        <w:t>Asimismo</w:t>
      </w:r>
      <w:proofErr w:type="gramEnd"/>
      <w:r w:rsidRPr="00E34784">
        <w:t xml:space="preserve"> analizó el artículo 1 del Decreto 608/2024, que extiende dicho efecto extintivo a todos los partícipes e incluye expresamente el delito de asociación ilícita fiscal del artículo 15 inciso c) del Régimen Penal Tributario. </w:t>
      </w:r>
    </w:p>
    <w:p w14:paraId="1D54F307" w14:textId="77777777" w:rsidR="00E34784" w:rsidRPr="00E34784" w:rsidRDefault="00E34784" w:rsidP="00E34784">
      <w:pPr>
        <w:rPr>
          <w:b/>
          <w:bCs/>
        </w:rPr>
      </w:pPr>
      <w:r w:rsidRPr="00E34784">
        <w:rPr>
          <w:b/>
          <w:bCs/>
        </w:rPr>
        <w:t>Postura de la defensa</w:t>
      </w:r>
    </w:p>
    <w:p w14:paraId="5EFC02D2" w14:textId="77777777" w:rsidR="00E34784" w:rsidRPr="00E34784" w:rsidRDefault="00E34784" w:rsidP="00E34784">
      <w:r w:rsidRPr="00E34784">
        <w:t xml:space="preserve">La defensa sostuvo que, a raíz de la sentencia de la Cámara Federal de Casación Penal y de la adhesión al régimen de regularización previsto por la Ley 27.743, correspondía declarar extinguida la acción penal y dictar el sobreseimiento de los imputados. </w:t>
      </w:r>
    </w:p>
    <w:p w14:paraId="050523BC" w14:textId="77777777" w:rsidR="00E34784" w:rsidRPr="00E34784" w:rsidRDefault="00E34784" w:rsidP="00E34784">
      <w:r w:rsidRPr="00E34784">
        <w:t xml:space="preserve">Argumentó que se encontraban reunidos los requisitos exigidos por la ley porque la deuda tributaria había sido regularizada y cancelada mediante el régimen legal vigente, lo que producía el efecto extintivo previsto expresamente por el legislador. </w:t>
      </w:r>
    </w:p>
    <w:p w14:paraId="313896EC" w14:textId="77777777" w:rsidR="00E34784" w:rsidRPr="00E34784" w:rsidRDefault="00E34784" w:rsidP="00E34784">
      <w:pPr>
        <w:rPr>
          <w:b/>
          <w:bCs/>
        </w:rPr>
      </w:pPr>
      <w:r w:rsidRPr="00E34784">
        <w:rPr>
          <w:b/>
          <w:bCs/>
        </w:rPr>
        <w:t>Postura de la fiscalía</w:t>
      </w:r>
    </w:p>
    <w:p w14:paraId="6302BB57" w14:textId="77777777" w:rsidR="00E34784" w:rsidRPr="00E34784" w:rsidRDefault="00E34784" w:rsidP="00E34784">
      <w:r w:rsidRPr="00E34784">
        <w:lastRenderedPageBreak/>
        <w:t xml:space="preserve">Inicialmente, el </w:t>
      </w:r>
      <w:proofErr w:type="gramStart"/>
      <w:r w:rsidRPr="00E34784">
        <w:t>Fiscal General</w:t>
      </w:r>
      <w:proofErr w:type="gramEnd"/>
      <w:r w:rsidRPr="00E34784">
        <w:t xml:space="preserve"> Carlos María Casas Nóblega solicitó que se incorporara información adicional relativa al estado procesal de una causa vinculada por evasión tributaria, entendiendo que esa circunstancia podía tener incidencia en la cuestión debatida. </w:t>
      </w:r>
    </w:p>
    <w:p w14:paraId="7AD9F01D" w14:textId="77777777" w:rsidR="00E34784" w:rsidRPr="00E34784" w:rsidRDefault="00E34784" w:rsidP="00E34784">
      <w:r w:rsidRPr="00E34784">
        <w:t xml:space="preserve">Posteriormente, una vez reunida la información requerida y pese a manifestar expresamente que no compartía el criterio adoptado por la Cámara Federal de Casación Penal, sostuvo que por razones de economía procesal y para evitar un desgaste jurisdiccional innecesario correspondía resolver conforme a los lineamientos fijados por el tribunal superior. </w:t>
      </w:r>
    </w:p>
    <w:p w14:paraId="15DD7DE0" w14:textId="77777777" w:rsidR="00E34784" w:rsidRPr="00E34784" w:rsidRDefault="00E34784" w:rsidP="00E34784">
      <w:r w:rsidRPr="00E34784">
        <w:t xml:space="preserve">En definitiva, no se opuso a que el Tribunal resolviera en el sentido indicado por Casación. </w:t>
      </w:r>
    </w:p>
    <w:p w14:paraId="6D32BF3B" w14:textId="77777777" w:rsidR="00E34784" w:rsidRPr="00E34784" w:rsidRDefault="00E34784" w:rsidP="00E34784">
      <w:pPr>
        <w:rPr>
          <w:b/>
          <w:bCs/>
        </w:rPr>
      </w:pPr>
      <w:r w:rsidRPr="00E34784">
        <w:rPr>
          <w:b/>
          <w:bCs/>
        </w:rPr>
        <w:t>Postura de la querella (UIF)</w:t>
      </w:r>
    </w:p>
    <w:p w14:paraId="4EDF37DD" w14:textId="77777777" w:rsidR="00E34784" w:rsidRPr="00E34784" w:rsidRDefault="00E34784" w:rsidP="00E34784">
      <w:r w:rsidRPr="00E34784">
        <w:t xml:space="preserve">La querella, representada por la Unidad de Información Financiera (UIF), intervino activamente durante el trámite. Solicitó que antes de dictarse un nuevo pronunciamiento se verificara el cumplimiento de los requisitos legales y, particularmente, la inexistencia de causales de exclusión previstas en el artículo 4 de la Ley 27.743. </w:t>
      </w:r>
    </w:p>
    <w:p w14:paraId="646EF5D2" w14:textId="77777777" w:rsidR="00E34784" w:rsidRPr="00E34784" w:rsidRDefault="00E34784" w:rsidP="00E34784">
      <w:r w:rsidRPr="00E34784">
        <w:t xml:space="preserve">Con ese objeto requirió medidas de prueba tendientes a determinar si la empresa Panno Textil S.A. o los imputados se encontraban en estado de quiebra o concurso y si registraban antecedentes penales que pudieran impedir la aplicación del régimen de regularización. </w:t>
      </w:r>
    </w:p>
    <w:p w14:paraId="0FD95FA5" w14:textId="77777777" w:rsidR="00E34784" w:rsidRPr="00E34784" w:rsidRDefault="00E34784" w:rsidP="00E34784">
      <w:r w:rsidRPr="00E34784">
        <w:t xml:space="preserve">Una vez producidas esas medidas, la querella no formuló una nueva oposición ni emitió opinión sobre el pedido de sobreseimiento. </w:t>
      </w:r>
    </w:p>
    <w:p w14:paraId="2136F511" w14:textId="77777777" w:rsidR="00E34784" w:rsidRPr="00E34784" w:rsidRDefault="00E34784" w:rsidP="00E34784">
      <w:pPr>
        <w:rPr>
          <w:b/>
          <w:bCs/>
        </w:rPr>
      </w:pPr>
      <w:r w:rsidRPr="00E34784">
        <w:rPr>
          <w:b/>
          <w:bCs/>
        </w:rPr>
        <w:t>Posición adoptada por el Tribunal</w:t>
      </w:r>
    </w:p>
    <w:p w14:paraId="54644286" w14:textId="77777777" w:rsidR="00E34784" w:rsidRPr="00E34784" w:rsidRDefault="00E34784" w:rsidP="00E34784">
      <w:r w:rsidRPr="00E34784">
        <w:t xml:space="preserve">Los jueces José Fabián Asís y Julián Falcucci consideraron acreditado que Cristian Eduardo Herrera había refinanciado y cancelado íntegramente la deuda tributaria mediante un plan acogido al régimen de la Ley 27.743. También verificaron que carecía de antecedentes penales computables y que no se encontraba alcanzado por ninguna de las causales de exclusión previstas en la ley. </w:t>
      </w:r>
    </w:p>
    <w:p w14:paraId="2558F51C" w14:textId="77777777" w:rsidR="00E34784" w:rsidRPr="00E34784" w:rsidRDefault="00E34784" w:rsidP="00E34784">
      <w:r w:rsidRPr="00E34784">
        <w:t xml:space="preserve">Sobre esa base concluyeron que se encontraban reunidos todos los requisitos para declarar extinguida la acción penal respecto del delito de asociación ilícita fiscal. </w:t>
      </w:r>
    </w:p>
    <w:p w14:paraId="60BFF243" w14:textId="77777777" w:rsidR="00E34784" w:rsidRPr="00E34784" w:rsidRDefault="00E34784" w:rsidP="00E34784">
      <w:r w:rsidRPr="00E34784">
        <w:t xml:space="preserve">Asimismo, interpretaron que el artículo 1 del Decreto 608/2024 extendía los efectos de la regularización a todos los partícipes del hecho, por lo que el beneficio debía hacerse extensivo a Ignacio Guillermo Herrera, Carlos César Bonaldi y Micaela Schörnig, quienes tampoco registraban antecedentes ni causales de exclusión. </w:t>
      </w:r>
    </w:p>
    <w:p w14:paraId="3EBDCBEE" w14:textId="77777777" w:rsidR="00E34784" w:rsidRPr="00E34784" w:rsidRDefault="00E34784" w:rsidP="00E34784">
      <w:pPr>
        <w:rPr>
          <w:b/>
          <w:bCs/>
        </w:rPr>
      </w:pPr>
      <w:r w:rsidRPr="00E34784">
        <w:rPr>
          <w:b/>
          <w:bCs/>
        </w:rPr>
        <w:t>Resolución</w:t>
      </w:r>
    </w:p>
    <w:p w14:paraId="12455044" w14:textId="77777777" w:rsidR="00E34784" w:rsidRPr="00E34784" w:rsidRDefault="00E34784" w:rsidP="00E34784">
      <w:r w:rsidRPr="00E34784">
        <w:t xml:space="preserve">El Tribunal Oral Federal de Córdoba N.º 1 declaró extinguida la acción penal respecto de Cristian Eduardo Herrera, Ignacio Guillermo Herrera, Carlos César Bonaldi y Micaela Schörnig y dispuso sus sobreseimientos en orden al delito de asociación ilícita fiscal previsto en el artículo 15 inciso c) del Régimen Penal Tributario, con fundamento en la Ley 27.743 y el Decreto Reglamentario 608/2024. </w:t>
      </w:r>
    </w:p>
    <w:p w14:paraId="08B4D93C" w14:textId="23B2EEA2" w:rsidR="00E34784" w:rsidRDefault="00E34784" w:rsidP="00A245F2"/>
    <w:p w14:paraId="22797101" w14:textId="2183C591" w:rsidR="00301E1A" w:rsidRPr="004D225C" w:rsidRDefault="00301E1A" w:rsidP="00A245F2">
      <w:pPr>
        <w:rPr>
          <w:sz w:val="36"/>
          <w:szCs w:val="36"/>
        </w:rPr>
      </w:pPr>
      <w:r w:rsidRPr="004D225C">
        <w:rPr>
          <w:sz w:val="36"/>
          <w:szCs w:val="36"/>
        </w:rPr>
        <w:t>FALLO IV</w:t>
      </w:r>
    </w:p>
    <w:p w14:paraId="4BAFDAEF" w14:textId="77777777" w:rsidR="00301E1A" w:rsidRPr="00301E1A" w:rsidRDefault="00301E1A" w:rsidP="00301E1A">
      <w:r w:rsidRPr="00301E1A">
        <w:rPr>
          <w:b/>
          <w:bCs/>
        </w:rPr>
        <w:lastRenderedPageBreak/>
        <w:t>Autos:</w:t>
      </w:r>
      <w:r w:rsidRPr="00301E1A">
        <w:t xml:space="preserve"> “Aún, Marcelo Oscar y otros s/ asociación ilícita fiscal” (FSM N.º 55.718/2019/TO1).</w:t>
      </w:r>
      <w:r w:rsidRPr="00301E1A">
        <w:br/>
      </w:r>
      <w:r w:rsidRPr="00301E1A">
        <w:rPr>
          <w:b/>
          <w:bCs/>
        </w:rPr>
        <w:t>Tribunal:</w:t>
      </w:r>
      <w:r w:rsidRPr="00301E1A">
        <w:t xml:space="preserve"> Tribunal Oral en lo Criminal Federal N° 4 de San Martín.</w:t>
      </w:r>
      <w:r w:rsidRPr="00301E1A">
        <w:br/>
      </w:r>
      <w:r w:rsidRPr="00301E1A">
        <w:rPr>
          <w:b/>
          <w:bCs/>
        </w:rPr>
        <w:t>Fecha de resolución:</w:t>
      </w:r>
      <w:r w:rsidRPr="00301E1A">
        <w:t xml:space="preserve"> 3 de junio de 2026.</w:t>
      </w:r>
      <w:r w:rsidRPr="00301E1A">
        <w:br/>
      </w:r>
      <w:r w:rsidRPr="00301E1A">
        <w:rPr>
          <w:b/>
          <w:bCs/>
        </w:rPr>
        <w:t>Integración:</w:t>
      </w:r>
      <w:r w:rsidRPr="00301E1A">
        <w:t xml:space="preserve"> jueces Matías Alejandro Mancini y Esteban Carlos Rodríguez Eggers (el juez Héctor Omar Sagretti se encontraba de licencia). </w:t>
      </w:r>
    </w:p>
    <w:p w14:paraId="346ED146" w14:textId="77777777" w:rsidR="00301E1A" w:rsidRPr="00301E1A" w:rsidRDefault="00301E1A" w:rsidP="00301E1A">
      <w:pPr>
        <w:rPr>
          <w:b/>
          <w:bCs/>
        </w:rPr>
      </w:pPr>
      <w:r w:rsidRPr="00301E1A">
        <w:rPr>
          <w:b/>
          <w:bCs/>
        </w:rPr>
        <w:t>Antecedentes fácticos y jurídicos</w:t>
      </w:r>
    </w:p>
    <w:p w14:paraId="1A5F4B17" w14:textId="77777777" w:rsidR="00301E1A" w:rsidRPr="00301E1A" w:rsidRDefault="00301E1A" w:rsidP="00301E1A">
      <w:r w:rsidRPr="00301E1A">
        <w:t xml:space="preserve">Los imputados Marcelo Oscar Aún, Fausto Gino Tivelli, Darío Villalba Brizuela, Antonio Celestino Ferrari, Jorge Almirón y Federico Germán Meier habían sido elevados a juicio bajo la acusación de integrar una </w:t>
      </w:r>
      <w:r w:rsidRPr="00301E1A">
        <w:rPr>
          <w:b/>
          <w:bCs/>
        </w:rPr>
        <w:t>asociación ilícita fiscal</w:t>
      </w:r>
      <w:r w:rsidRPr="00301E1A">
        <w:t xml:space="preserve">, atribuyéndose a Aún el rol de organizador y a los restantes el de miembros, en los términos del artículo 15 inciso c) de la Ley 24.769. </w:t>
      </w:r>
    </w:p>
    <w:p w14:paraId="54D070F8" w14:textId="77777777" w:rsidR="00301E1A" w:rsidRPr="00301E1A" w:rsidRDefault="00301E1A" w:rsidP="00301E1A">
      <w:r w:rsidRPr="00301E1A">
        <w:t xml:space="preserve">La imputación sostenía que la organización se dedicaba a emitir facturación apócrifa mediante sociedades que simulaban actividad económica (“usinas”), con el objeto de permitir a empresas usuarias disminuir fraudulentamente su carga tributaria a través de gastos inexistentes y créditos fiscales ficticios. </w:t>
      </w:r>
    </w:p>
    <w:p w14:paraId="5B8ABC19" w14:textId="77777777" w:rsidR="00301E1A" w:rsidRPr="00301E1A" w:rsidRDefault="00301E1A" w:rsidP="00301E1A">
      <w:r w:rsidRPr="00301E1A">
        <w:t xml:space="preserve">Durante la tramitación de la causa se sancionó la Ley 27.799, que elevó a $100.000.000 por tributo y por ejercicio anual el monto de la condición objetiva de punibilidad de diversos delitos tributarios, entre ellos la evasión tributaria. A raíz de esa modificación legislativa, varias defensas solicitaron la aplicación de la ley penal más benigna y el sobreseimiento de los imputados. </w:t>
      </w:r>
    </w:p>
    <w:p w14:paraId="745EFB66" w14:textId="77777777" w:rsidR="00301E1A" w:rsidRPr="00301E1A" w:rsidRDefault="00301E1A" w:rsidP="00301E1A">
      <w:r w:rsidRPr="00301E1A">
        <w:t xml:space="preserve">El debate jurídico se centró en determinar si la desincriminación sobreviniente de las evasiones tributarias que constituían el objeto de la organización hacía desaparecer también la tipicidad de la asociación ilícita fiscal. </w:t>
      </w:r>
    </w:p>
    <w:p w14:paraId="7ADF5C9B" w14:textId="77777777" w:rsidR="00301E1A" w:rsidRPr="00301E1A" w:rsidRDefault="00301E1A" w:rsidP="00301E1A">
      <w:pPr>
        <w:rPr>
          <w:b/>
          <w:bCs/>
        </w:rPr>
      </w:pPr>
      <w:r w:rsidRPr="00301E1A">
        <w:rPr>
          <w:b/>
          <w:bCs/>
        </w:rPr>
        <w:t>Postura de la defensa</w:t>
      </w:r>
    </w:p>
    <w:p w14:paraId="65F09D84" w14:textId="77777777" w:rsidR="00301E1A" w:rsidRPr="00301E1A" w:rsidRDefault="00301E1A" w:rsidP="00301E1A">
      <w:r w:rsidRPr="00301E1A">
        <w:t xml:space="preserve">Las defensas sostuvieron que la reforma introducida por la Ley 27.799 había tornado atípicas las conductas tributarias que constituían el objeto de la asociación ilícita fiscal investigada. En consecuencia, afirmaron que si los delitos tributarios para cuya comisión se habría organizado la asociación ya no resultaban punibles, tampoco podía subsistir la imputación por asociación ilícita fiscal. </w:t>
      </w:r>
    </w:p>
    <w:p w14:paraId="5AD7D0DB" w14:textId="77777777" w:rsidR="00301E1A" w:rsidRPr="00301E1A" w:rsidRDefault="00301E1A" w:rsidP="00301E1A">
      <w:r w:rsidRPr="00301E1A">
        <w:t xml:space="preserve">Argumentaron que el artículo 15 inciso c) exige que la organización esté destinada a cometer delitos previstos en la ley penal tributaria, por lo </w:t>
      </w:r>
      <w:proofErr w:type="gramStart"/>
      <w:r w:rsidRPr="00301E1A">
        <w:t>que</w:t>
      </w:r>
      <w:proofErr w:type="gramEnd"/>
      <w:r w:rsidRPr="00301E1A">
        <w:t xml:space="preserve"> desaparecido ese elemento objetivo del tipo, la figura pierde sustento jurídico. </w:t>
      </w:r>
    </w:p>
    <w:p w14:paraId="24743DB9" w14:textId="77777777" w:rsidR="00301E1A" w:rsidRPr="00301E1A" w:rsidRDefault="00301E1A" w:rsidP="00301E1A">
      <w:r w:rsidRPr="00301E1A">
        <w:t xml:space="preserve">Además, invocaron los informes de determinación de oficio elaborados por ARCA para demostrar que los montos de perjuicio fiscal atribuidos no alcanzaban los nuevos umbrales establecidos por la Ley 27.799. </w:t>
      </w:r>
    </w:p>
    <w:p w14:paraId="1A70A5B8" w14:textId="77777777" w:rsidR="00301E1A" w:rsidRPr="00301E1A" w:rsidRDefault="00301E1A" w:rsidP="00301E1A">
      <w:pPr>
        <w:rPr>
          <w:b/>
          <w:bCs/>
        </w:rPr>
      </w:pPr>
      <w:r w:rsidRPr="00301E1A">
        <w:rPr>
          <w:b/>
          <w:bCs/>
        </w:rPr>
        <w:t>Postura de la querella (ARCA)</w:t>
      </w:r>
    </w:p>
    <w:p w14:paraId="6E925091" w14:textId="77777777" w:rsidR="00301E1A" w:rsidRPr="00301E1A" w:rsidRDefault="00301E1A" w:rsidP="00301E1A">
      <w:r w:rsidRPr="00301E1A">
        <w:t xml:space="preserve">La querella, ejercida por la ARCA, se opuso al planteo defensivo. Sostuvo que la asociación ilícita fiscal es una figura autónoma e independiente de la evasión tributaria y que la modificación de los montos de punibilidad de esta última no alteraba la estructura típica del artículo 15 inciso c). </w:t>
      </w:r>
    </w:p>
    <w:p w14:paraId="7E29CAE0" w14:textId="77777777" w:rsidR="00301E1A" w:rsidRPr="00301E1A" w:rsidRDefault="00301E1A" w:rsidP="00301E1A">
      <w:r w:rsidRPr="00301E1A">
        <w:t xml:space="preserve">Afirmó que, aun cuando determinados hechos ya no pudieran ser considerados evasión tributaria, ello no eliminaba la existencia histórica de la organización ni el acuerdo funcional </w:t>
      </w:r>
      <w:r w:rsidRPr="00301E1A">
        <w:lastRenderedPageBreak/>
        <w:t xml:space="preserve">destinado a cometer delitos tributarios. Según su postura, la tipicidad de la asociación ilícita fiscal no depende de la subsistencia actual de los delitos tributarios concretos ni de su efectiva consumación. </w:t>
      </w:r>
    </w:p>
    <w:p w14:paraId="2458EB7D" w14:textId="77777777" w:rsidR="00301E1A" w:rsidRPr="00301E1A" w:rsidRDefault="00301E1A" w:rsidP="00301E1A">
      <w:r w:rsidRPr="00301E1A">
        <w:t xml:space="preserve">También sostuvo que extender el efecto desincriminante a la asociación ilícita fiscal implicaría una analogía no prevista por el legislador. </w:t>
      </w:r>
    </w:p>
    <w:p w14:paraId="024ED47C" w14:textId="77777777" w:rsidR="00301E1A" w:rsidRPr="00301E1A" w:rsidRDefault="00301E1A" w:rsidP="00301E1A">
      <w:pPr>
        <w:rPr>
          <w:b/>
          <w:bCs/>
        </w:rPr>
      </w:pPr>
      <w:r w:rsidRPr="00301E1A">
        <w:rPr>
          <w:b/>
          <w:bCs/>
        </w:rPr>
        <w:t>Postura de la fiscalía</w:t>
      </w:r>
    </w:p>
    <w:p w14:paraId="253A43C2" w14:textId="77777777" w:rsidR="00301E1A" w:rsidRPr="00301E1A" w:rsidRDefault="00301E1A" w:rsidP="00301E1A">
      <w:r w:rsidRPr="00301E1A">
        <w:t xml:space="preserve">La fiscalía coincidió sustancialmente con la querella. Consideró que la reforma introducida por la Ley 27.799 no había modificado en modo alguno la figura de asociación ilícita fiscal, por tratarse de un delito autónomo cuyos elementos típicos son la existencia de una estructura organizada, estable y permanente destinada a la comisión de ilícitos tributarios. </w:t>
      </w:r>
    </w:p>
    <w:p w14:paraId="4746317C" w14:textId="77777777" w:rsidR="00301E1A" w:rsidRPr="00301E1A" w:rsidRDefault="00301E1A" w:rsidP="00301E1A">
      <w:r w:rsidRPr="00301E1A">
        <w:t xml:space="preserve">Destacó que la consumación de la asociación ilícita fiscal no requiere la efectiva consumación de los delitos para los cuales fue creada. Asimismo, puso de relieve la magnitud del perjuicio fiscal investigado, la duración de la estructura durante aproximadamente nueve años y la gravedad institucional de las maniobras. </w:t>
      </w:r>
    </w:p>
    <w:p w14:paraId="6AE541E1" w14:textId="77777777" w:rsidR="00301E1A" w:rsidRPr="00301E1A" w:rsidRDefault="00301E1A" w:rsidP="00301E1A">
      <w:r w:rsidRPr="00301E1A">
        <w:t xml:space="preserve">Finalmente, enfatizó que la asociación ilícita fiscal protege un bien jurídico distinto al tutelado por la evasión tributaria. </w:t>
      </w:r>
    </w:p>
    <w:p w14:paraId="781D3ACA" w14:textId="77777777" w:rsidR="00301E1A" w:rsidRPr="00301E1A" w:rsidRDefault="00301E1A" w:rsidP="00301E1A">
      <w:pPr>
        <w:rPr>
          <w:b/>
          <w:bCs/>
        </w:rPr>
      </w:pPr>
      <w:r w:rsidRPr="00301E1A">
        <w:rPr>
          <w:b/>
          <w:bCs/>
        </w:rPr>
        <w:t>Posición adoptada por los jueces</w:t>
      </w:r>
    </w:p>
    <w:p w14:paraId="14654083" w14:textId="77777777" w:rsidR="00301E1A" w:rsidRPr="00301E1A" w:rsidRDefault="00301E1A" w:rsidP="00301E1A">
      <w:pPr>
        <w:rPr>
          <w:b/>
          <w:bCs/>
        </w:rPr>
      </w:pPr>
      <w:r w:rsidRPr="00301E1A">
        <w:rPr>
          <w:b/>
          <w:bCs/>
        </w:rPr>
        <w:t>Voto del juez Matías Alejandro Mancini</w:t>
      </w:r>
    </w:p>
    <w:p w14:paraId="0B688F13" w14:textId="77777777" w:rsidR="00301E1A" w:rsidRPr="00301E1A" w:rsidRDefault="00301E1A" w:rsidP="00301E1A">
      <w:r w:rsidRPr="00301E1A">
        <w:t xml:space="preserve">El juez Mancini hizo lugar a los planteos defensivos. Consideró acreditado que las únicas conductas tributarias que integraban el objeto de la supuesta asociación eran las evasiones tributarias individualizadas por la ARCA y que, luego de la entrada en vigencia de la Ley 27.799, ninguna de ellas alcanzaba el nuevo umbral de punibilidad exigido por la ley. </w:t>
      </w:r>
    </w:p>
    <w:p w14:paraId="45458932" w14:textId="77777777" w:rsidR="00301E1A" w:rsidRPr="00301E1A" w:rsidRDefault="00301E1A" w:rsidP="00301E1A">
      <w:r w:rsidRPr="00301E1A">
        <w:t xml:space="preserve">Destacó que la asociación ilícita fiscal es un delito autónomo, pero no independiente de los delitos tributarios previstos en la ley penal tributaria, ya que requiere necesariamente que la organización tenga por finalidad cometer alguno de ellos. </w:t>
      </w:r>
    </w:p>
    <w:p w14:paraId="17AD0CF9" w14:textId="77777777" w:rsidR="00301E1A" w:rsidRPr="00301E1A" w:rsidRDefault="00301E1A" w:rsidP="00301E1A">
      <w:r w:rsidRPr="00301E1A">
        <w:t xml:space="preserve">Sostuvo que, al haber sido desincriminadas las evasiones tributarias que constituían el objeto de la organización investigada, desaparecía un elemento típico esencial de la asociación ilícita fiscal. Apoyó esta conclusión en la doctrina de la Corte Suprema en el precedente “Stancanelli” y en el fallo “Roses” de la Sala I de la Cámara Federal de Casación Penal. </w:t>
      </w:r>
    </w:p>
    <w:p w14:paraId="64D75CB5" w14:textId="77777777" w:rsidR="00301E1A" w:rsidRPr="00301E1A" w:rsidRDefault="00301E1A" w:rsidP="00301E1A">
      <w:r w:rsidRPr="00301E1A">
        <w:t xml:space="preserve">Por ello concluyó que la conducta atribuida había devenido atípica y que correspondía el sobreseimiento de todos los imputados. </w:t>
      </w:r>
    </w:p>
    <w:p w14:paraId="350C8B0F" w14:textId="77777777" w:rsidR="00301E1A" w:rsidRPr="00301E1A" w:rsidRDefault="00301E1A" w:rsidP="00301E1A">
      <w:pPr>
        <w:rPr>
          <w:b/>
          <w:bCs/>
        </w:rPr>
      </w:pPr>
      <w:r w:rsidRPr="00301E1A">
        <w:rPr>
          <w:b/>
          <w:bCs/>
        </w:rPr>
        <w:t>Voto del juez Esteban Carlos Rodríguez Eggers</w:t>
      </w:r>
    </w:p>
    <w:p w14:paraId="3D3F893A" w14:textId="77777777" w:rsidR="00301E1A" w:rsidRPr="00301E1A" w:rsidRDefault="00301E1A" w:rsidP="00301E1A">
      <w:r w:rsidRPr="00301E1A">
        <w:t xml:space="preserve">El juez Rodríguez Eggers adhirió íntegramente a la solución y a los fundamentos expuestos por el juez Mancini. </w:t>
      </w:r>
    </w:p>
    <w:p w14:paraId="49805A8D" w14:textId="77777777" w:rsidR="00301E1A" w:rsidRPr="00301E1A" w:rsidRDefault="00301E1A" w:rsidP="00301E1A">
      <w:pPr>
        <w:rPr>
          <w:b/>
          <w:bCs/>
        </w:rPr>
      </w:pPr>
      <w:r w:rsidRPr="00301E1A">
        <w:rPr>
          <w:b/>
          <w:bCs/>
        </w:rPr>
        <w:t>Resolución</w:t>
      </w:r>
    </w:p>
    <w:p w14:paraId="5C1E9CF3" w14:textId="77777777" w:rsidR="00301E1A" w:rsidRPr="00301E1A" w:rsidRDefault="00301E1A" w:rsidP="00301E1A">
      <w:r w:rsidRPr="00301E1A">
        <w:t>Por unanimidad de los jueces que integraron el tribunal, se dispuso:</w:t>
      </w:r>
    </w:p>
    <w:p w14:paraId="1D780C4B" w14:textId="77777777" w:rsidR="00301E1A" w:rsidRPr="00301E1A" w:rsidRDefault="00301E1A" w:rsidP="005227BF">
      <w:pPr>
        <w:numPr>
          <w:ilvl w:val="0"/>
          <w:numId w:val="6"/>
        </w:numPr>
      </w:pPr>
      <w:r w:rsidRPr="00301E1A">
        <w:t xml:space="preserve">El sobreseimiento de Marcelo Oscar Aún, Fausto Gino Tivelli, Darío Villalba Brizuela, Antonio Celestino Ferrari, Jorge Almirón y Federico Germán Meier. </w:t>
      </w:r>
    </w:p>
    <w:p w14:paraId="217C4FF2" w14:textId="77777777" w:rsidR="00301E1A" w:rsidRPr="00301E1A" w:rsidRDefault="00301E1A" w:rsidP="005227BF">
      <w:pPr>
        <w:numPr>
          <w:ilvl w:val="0"/>
          <w:numId w:val="6"/>
        </w:numPr>
      </w:pPr>
      <w:r w:rsidRPr="00301E1A">
        <w:lastRenderedPageBreak/>
        <w:t xml:space="preserve">La declaración de que la formación del proceso no afectó el buen nombre y honor de los imputados. </w:t>
      </w:r>
    </w:p>
    <w:p w14:paraId="3913C152" w14:textId="77777777" w:rsidR="00301E1A" w:rsidRPr="00301E1A" w:rsidRDefault="00301E1A" w:rsidP="005227BF">
      <w:pPr>
        <w:numPr>
          <w:ilvl w:val="0"/>
          <w:numId w:val="6"/>
        </w:numPr>
      </w:pPr>
      <w:r w:rsidRPr="00301E1A">
        <w:t xml:space="preserve">El levantamiento de la prohibición de salida del país y de las inhibiciones generales de bienes. </w:t>
      </w:r>
    </w:p>
    <w:p w14:paraId="45EC286D" w14:textId="77777777" w:rsidR="00301E1A" w:rsidRPr="00301E1A" w:rsidRDefault="00301E1A" w:rsidP="005227BF">
      <w:pPr>
        <w:numPr>
          <w:ilvl w:val="0"/>
          <w:numId w:val="6"/>
        </w:numPr>
      </w:pPr>
      <w:r w:rsidRPr="00301E1A">
        <w:t xml:space="preserve">La comunicación de la decisión a la Sala I de la Cámara Federal de Casación Penal. </w:t>
      </w:r>
    </w:p>
    <w:p w14:paraId="0FD7BBF0" w14:textId="77777777" w:rsidR="00301E1A" w:rsidRPr="00301E1A" w:rsidRDefault="00301E1A" w:rsidP="00301E1A">
      <w:r w:rsidRPr="00301E1A">
        <w:t>En síntesis, el Tribunal entendió que la Ley 27.799 produjo una desincriminación de las evasiones tributarias que constituían el objeto exclusivo de la asociación ilícita fiscal investigada y que, por ello, la imputación del artículo 15 inciso c) de la Ley 24.769 había quedado sin sustento típico, correspondiendo el sobreseimiento de todos los acusados</w:t>
      </w:r>
    </w:p>
    <w:p w14:paraId="62417BD7" w14:textId="230B3FF7" w:rsidR="00301E1A" w:rsidRDefault="00301E1A" w:rsidP="00A245F2"/>
    <w:p w14:paraId="01A1B64F" w14:textId="5E9592A8" w:rsidR="00490E2A" w:rsidRPr="004D225C" w:rsidRDefault="000403BC" w:rsidP="00A245F2">
      <w:pPr>
        <w:rPr>
          <w:sz w:val="36"/>
          <w:szCs w:val="36"/>
        </w:rPr>
      </w:pPr>
      <w:r w:rsidRPr="004D225C">
        <w:rPr>
          <w:sz w:val="36"/>
          <w:szCs w:val="36"/>
        </w:rPr>
        <w:t>FALLO V</w:t>
      </w:r>
    </w:p>
    <w:p w14:paraId="665107CA" w14:textId="77777777" w:rsidR="000403BC" w:rsidRPr="000403BC" w:rsidRDefault="000403BC" w:rsidP="000403BC">
      <w:r w:rsidRPr="000403BC">
        <w:rPr>
          <w:b/>
          <w:bCs/>
        </w:rPr>
        <w:t>Autos:</w:t>
      </w:r>
      <w:r w:rsidRPr="000403BC">
        <w:t xml:space="preserve"> “Diwan Fucci Producciones Artísticas S.R.L. y Diwan, Ariel Alberto s/ Infracción Ley 24.769” (CPE 1266/2019/TO1 – Registro Interno N.º 3286/2023).</w:t>
      </w:r>
      <w:r w:rsidRPr="000403BC">
        <w:br/>
      </w:r>
      <w:r w:rsidRPr="000403BC">
        <w:rPr>
          <w:b/>
          <w:bCs/>
        </w:rPr>
        <w:t>Tribunal:</w:t>
      </w:r>
      <w:r w:rsidRPr="000403BC">
        <w:t xml:space="preserve"> Tribunal Oral en lo Penal Económico N° 1.</w:t>
      </w:r>
      <w:r w:rsidRPr="000403BC">
        <w:br/>
      </w:r>
      <w:r w:rsidRPr="000403BC">
        <w:rPr>
          <w:b/>
          <w:bCs/>
        </w:rPr>
        <w:t>Fecha de resolución:</w:t>
      </w:r>
      <w:r w:rsidRPr="000403BC">
        <w:t xml:space="preserve"> 8 de junio de 2026.</w:t>
      </w:r>
      <w:r w:rsidRPr="000403BC">
        <w:br/>
      </w:r>
      <w:r w:rsidRPr="000403BC">
        <w:rPr>
          <w:b/>
          <w:bCs/>
        </w:rPr>
        <w:t>Magistrada interviniente:</w:t>
      </w:r>
      <w:r w:rsidRPr="000403BC">
        <w:t xml:space="preserve"> jueza Sabrina Edith Namer. </w:t>
      </w:r>
    </w:p>
    <w:p w14:paraId="4DA4C7AB" w14:textId="77777777" w:rsidR="000403BC" w:rsidRPr="000403BC" w:rsidRDefault="000403BC" w:rsidP="000403BC">
      <w:pPr>
        <w:rPr>
          <w:b/>
          <w:bCs/>
        </w:rPr>
      </w:pPr>
      <w:r w:rsidRPr="000403BC">
        <w:rPr>
          <w:b/>
          <w:bCs/>
        </w:rPr>
        <w:t>Antecedentes fácticos y jurídicos</w:t>
      </w:r>
    </w:p>
    <w:p w14:paraId="458CCB8E" w14:textId="77777777" w:rsidR="000403BC" w:rsidRPr="000403BC" w:rsidRDefault="000403BC" w:rsidP="000403BC">
      <w:r w:rsidRPr="000403BC">
        <w:t xml:space="preserve">Conforme al requerimiento fiscal de elevación a juicio de fecha 14 de septiembre de 2022, se imputó a Ariel Alberto Diwan y a la sociedad Diwan Fucci Producciones Artísticas S.R.L. la presunta evasión de aportes y contribuciones destinados al Sistema Único de la Seguridad Social mediante la omisión de declarar parte de los trabajadores y la registración de otros como monotributistas, encubriendo relaciones laborales de dependencia. </w:t>
      </w:r>
    </w:p>
    <w:p w14:paraId="4569D7A9" w14:textId="77777777" w:rsidR="000403BC" w:rsidRPr="000403BC" w:rsidRDefault="000403BC" w:rsidP="000403BC">
      <w:r w:rsidRPr="000403BC">
        <w:t xml:space="preserve">Los hechos comprendían distintos períodos fiscales entre octubre de 2013 y noviembre de 2014, con montos que oscilaban entre aproximadamente $211.000 y $311.000 por cada período mensual. La acusación fue encuadrada en los artículos 7 y 14 de la Ley 24.769. </w:t>
      </w:r>
    </w:p>
    <w:p w14:paraId="08833668" w14:textId="77777777" w:rsidR="000403BC" w:rsidRPr="000403BC" w:rsidRDefault="000403BC" w:rsidP="000403BC">
      <w:r w:rsidRPr="000403BC">
        <w:t xml:space="preserve">Posteriormente, el 18 de diciembre de 2025, el Tribunal había suspendido las acciones penales por dos años y seis meses en el marco de una solución alternativa al juicio, condicionada al cumplimiento de un plan de pagos acordado con la ARCA. </w:t>
      </w:r>
    </w:p>
    <w:p w14:paraId="2CCAD640" w14:textId="77777777" w:rsidR="000403BC" w:rsidRPr="000403BC" w:rsidRDefault="000403BC" w:rsidP="000403BC">
      <w:r w:rsidRPr="000403BC">
        <w:t xml:space="preserve">Con posterioridad a ello se sancionó la Ley 27.799, que modificó el Régimen Penal Tributario elevando significativamente los montos de las condiciones objetivas de punibilidad. Sobre esa base, la defensa solicitó la extinción de la acción penal y el sobreseimiento de los imputados por aplicación retroactiva de la ley penal más benigna. </w:t>
      </w:r>
    </w:p>
    <w:p w14:paraId="7C8A1E01" w14:textId="77777777" w:rsidR="000403BC" w:rsidRPr="000403BC" w:rsidRDefault="000403BC" w:rsidP="000403BC">
      <w:r w:rsidRPr="000403BC">
        <w:t xml:space="preserve">La cuestión jurídica debatida consistió en determinar si la elevación de los umbrales de punibilidad introducida por la Ley 27.799 debía aplicarse retroactivamente a hechos anteriores y si ello tornaba atípicas las conductas imputadas. </w:t>
      </w:r>
    </w:p>
    <w:p w14:paraId="59ADF483" w14:textId="77777777" w:rsidR="000403BC" w:rsidRPr="000403BC" w:rsidRDefault="000403BC" w:rsidP="000403BC">
      <w:pPr>
        <w:rPr>
          <w:b/>
          <w:bCs/>
        </w:rPr>
      </w:pPr>
      <w:r w:rsidRPr="000403BC">
        <w:rPr>
          <w:b/>
          <w:bCs/>
        </w:rPr>
        <w:t>Postura de la defensa</w:t>
      </w:r>
    </w:p>
    <w:p w14:paraId="018A3204" w14:textId="77777777" w:rsidR="000403BC" w:rsidRPr="000403BC" w:rsidRDefault="000403BC" w:rsidP="000403BC">
      <w:r w:rsidRPr="000403BC">
        <w:t xml:space="preserve">La defensa sostuvo que los hechos atribuidos habían devenido atípicos por aplicación de la Ley 27.799, ya que los montos involucrados en la causa eran muy inferiores a las nuevas condiciones objetivas de punibilidad establecidas por esa norma. </w:t>
      </w:r>
    </w:p>
    <w:p w14:paraId="2DAD7090" w14:textId="77777777" w:rsidR="000403BC" w:rsidRPr="000403BC" w:rsidRDefault="000403BC" w:rsidP="000403BC">
      <w:r w:rsidRPr="000403BC">
        <w:lastRenderedPageBreak/>
        <w:t xml:space="preserve">Argumentó que correspondía aplicar retroactivamente la ley penal más benigna, conforme al artículo 2 del Código Penal, y que por ello debía declararse extinguida la acción penal y disponerse el sobreseimiento de los imputados. </w:t>
      </w:r>
    </w:p>
    <w:p w14:paraId="71C40520" w14:textId="77777777" w:rsidR="000403BC" w:rsidRPr="000403BC" w:rsidRDefault="000403BC" w:rsidP="000403BC">
      <w:pPr>
        <w:rPr>
          <w:b/>
          <w:bCs/>
        </w:rPr>
      </w:pPr>
      <w:r w:rsidRPr="000403BC">
        <w:rPr>
          <w:b/>
          <w:bCs/>
        </w:rPr>
        <w:t>Postura de la fiscalía</w:t>
      </w:r>
    </w:p>
    <w:p w14:paraId="0805868A" w14:textId="77777777" w:rsidR="000403BC" w:rsidRPr="000403BC" w:rsidRDefault="000403BC" w:rsidP="000403BC">
      <w:r w:rsidRPr="000403BC">
        <w:t xml:space="preserve">La fiscalía desarrolló una extensa argumentación contraria a la aplicación retroactiva de la Ley 27.799. Sostuvo que el aumento de los montos de punibilidad respondió exclusivamente a una actualización monetaria derivada del proceso inflacionario y no a un cambio de valoración social de las conductas reprimidas. </w:t>
      </w:r>
    </w:p>
    <w:p w14:paraId="57071933" w14:textId="77777777" w:rsidR="000403BC" w:rsidRPr="000403BC" w:rsidRDefault="000403BC" w:rsidP="000403BC">
      <w:r w:rsidRPr="000403BC">
        <w:t xml:space="preserve">Según el Ministerio Público Fiscal, la reforma mantuvo inalterada la estructura típica de los delitos tributarios y únicamente adecuó los valores monetarios para preservar la eficacia normativa del régimen penal tributario. Por ello entendió que la ley no debía ser considerada automáticamente una ley penal más benigna. </w:t>
      </w:r>
    </w:p>
    <w:p w14:paraId="465E94CA" w14:textId="77777777" w:rsidR="000403BC" w:rsidRPr="000403BC" w:rsidRDefault="000403BC" w:rsidP="000403BC">
      <w:r w:rsidRPr="000403BC">
        <w:t xml:space="preserve">La fiscalía también invocó antecedentes legislativos, doctrina y resoluciones anteriores de la Procuración General de la Nación para sostener esa postura. </w:t>
      </w:r>
    </w:p>
    <w:p w14:paraId="357EEC5D" w14:textId="77777777" w:rsidR="000403BC" w:rsidRPr="000403BC" w:rsidRDefault="000403BC" w:rsidP="000403BC">
      <w:r w:rsidRPr="000403BC">
        <w:t xml:space="preserve">Sin embargo, luego de reconocer expresamente la doctrina obligatoria de la Corte Suprema en los precedentes “Palero” y especialmente “Vidal”, admitió que, por razones de política criminal, economía procesal y atendiendo a las características concretas del caso, no se opondría a una solución desincriminatoria. </w:t>
      </w:r>
      <w:proofErr w:type="gramStart"/>
      <w:r w:rsidRPr="000403BC">
        <w:t>Además</w:t>
      </w:r>
      <w:proofErr w:type="gramEnd"/>
      <w:r w:rsidRPr="000403BC">
        <w:t xml:space="preserve"> destacó que la propia ARCA había dictado una instrucción general propiciando el desistimiento de la acción penal en situaciones análogas. </w:t>
      </w:r>
    </w:p>
    <w:p w14:paraId="613E8399" w14:textId="77777777" w:rsidR="000403BC" w:rsidRPr="000403BC" w:rsidRDefault="000403BC" w:rsidP="000403BC">
      <w:r w:rsidRPr="000403BC">
        <w:t xml:space="preserve">En definitiva, aunque mantuvo su discrepancia jurídica respecto de la aplicación retroactiva de la Ley 27.799, prestó conformidad al sobreseimiento. </w:t>
      </w:r>
    </w:p>
    <w:p w14:paraId="364B804A" w14:textId="77777777" w:rsidR="000403BC" w:rsidRPr="000403BC" w:rsidRDefault="000403BC" w:rsidP="000403BC">
      <w:pPr>
        <w:rPr>
          <w:b/>
          <w:bCs/>
        </w:rPr>
      </w:pPr>
      <w:r w:rsidRPr="000403BC">
        <w:rPr>
          <w:b/>
          <w:bCs/>
        </w:rPr>
        <w:t>Querella</w:t>
      </w:r>
    </w:p>
    <w:p w14:paraId="09856C74" w14:textId="77777777" w:rsidR="000403BC" w:rsidRPr="000403BC" w:rsidRDefault="000403BC" w:rsidP="000403BC">
      <w:r w:rsidRPr="000403BC">
        <w:t xml:space="preserve">No surge de la resolución la intervención de una querella particular ni de la ARCA en calidad de querellante durante este incidente. La única parte acusadora que emitió opinión fue el Ministerio Público Fiscal. ARCA aparece mencionada únicamente como organismo recaudador, como destinataria de comunicaciones del Tribunal y como entidad que había aceptado el plan de pagos e impartido una instrucción administrativa sobre casos similares. </w:t>
      </w:r>
    </w:p>
    <w:p w14:paraId="5E9E6240" w14:textId="77777777" w:rsidR="000403BC" w:rsidRPr="000403BC" w:rsidRDefault="000403BC" w:rsidP="000403BC">
      <w:pPr>
        <w:rPr>
          <w:b/>
          <w:bCs/>
        </w:rPr>
      </w:pPr>
      <w:r w:rsidRPr="000403BC">
        <w:rPr>
          <w:b/>
          <w:bCs/>
        </w:rPr>
        <w:t>Posición adoptada por la jueza Sabrina Namer</w:t>
      </w:r>
    </w:p>
    <w:p w14:paraId="7D2C0F5B" w14:textId="77777777" w:rsidR="000403BC" w:rsidRPr="000403BC" w:rsidRDefault="000403BC" w:rsidP="000403BC">
      <w:r w:rsidRPr="000403BC">
        <w:t xml:space="preserve">La jueza Namer señaló expresamente que compartía el criterio jurídico de la fiscalía respecto de la improcedencia de la aplicación retroactiva de la Ley 27.799, criterio que ya había sostenido en otras oportunidades. </w:t>
      </w:r>
    </w:p>
    <w:p w14:paraId="1E561BA8" w14:textId="77777777" w:rsidR="000403BC" w:rsidRPr="000403BC" w:rsidRDefault="000403BC" w:rsidP="000403BC">
      <w:r w:rsidRPr="000403BC">
        <w:t xml:space="preserve">No obstante, consideró que la jurisdicción no podía avanzar en la persecución penal una vez que el titular de la acción penal pública había decidido razonablemente no continuar impulsándola en el caso concreto. Citó para ello jurisprudencia de la Corte Suprema sobre los límites de la jurisdicción frente a la posición del Ministerio Público Fiscal. </w:t>
      </w:r>
    </w:p>
    <w:p w14:paraId="686FD0C6" w14:textId="77777777" w:rsidR="000403BC" w:rsidRPr="000403BC" w:rsidRDefault="000403BC" w:rsidP="000403BC">
      <w:r w:rsidRPr="000403BC">
        <w:t xml:space="preserve">Por esa razón, aun sin compartir los fundamentos sustantivos de la desincriminación, resolvió hacer lugar a la solución propuesta por la fiscalía. </w:t>
      </w:r>
    </w:p>
    <w:p w14:paraId="24A9267B" w14:textId="77777777" w:rsidR="000403BC" w:rsidRPr="000403BC" w:rsidRDefault="000403BC" w:rsidP="000403BC">
      <w:pPr>
        <w:rPr>
          <w:b/>
          <w:bCs/>
        </w:rPr>
      </w:pPr>
      <w:r w:rsidRPr="000403BC">
        <w:rPr>
          <w:b/>
          <w:bCs/>
        </w:rPr>
        <w:t>Resolución</w:t>
      </w:r>
    </w:p>
    <w:p w14:paraId="0835FB67" w14:textId="77777777" w:rsidR="000403BC" w:rsidRPr="000403BC" w:rsidRDefault="000403BC" w:rsidP="000403BC">
      <w:r w:rsidRPr="000403BC">
        <w:t>La jueza Sabrina Namer resolvió:</w:t>
      </w:r>
    </w:p>
    <w:p w14:paraId="19FA532C" w14:textId="77777777" w:rsidR="000403BC" w:rsidRPr="000403BC" w:rsidRDefault="000403BC" w:rsidP="005227BF">
      <w:pPr>
        <w:numPr>
          <w:ilvl w:val="0"/>
          <w:numId w:val="7"/>
        </w:numPr>
      </w:pPr>
      <w:r w:rsidRPr="000403BC">
        <w:lastRenderedPageBreak/>
        <w:t xml:space="preserve">Sobreseer totalmente a Ariel Alberto Diwan y a Diwan Fucci Producciones Artísticas S.R.L. respecto de todos los hechos imputados. </w:t>
      </w:r>
    </w:p>
    <w:p w14:paraId="33556DAA" w14:textId="77777777" w:rsidR="000403BC" w:rsidRPr="000403BC" w:rsidRDefault="000403BC" w:rsidP="005227BF">
      <w:pPr>
        <w:numPr>
          <w:ilvl w:val="0"/>
          <w:numId w:val="7"/>
        </w:numPr>
      </w:pPr>
      <w:r w:rsidRPr="000403BC">
        <w:t xml:space="preserve">Declarar que la formación del proceso no afectó el buen nombre y honor de los imputados. </w:t>
      </w:r>
    </w:p>
    <w:p w14:paraId="6F5CF2D0" w14:textId="77777777" w:rsidR="000403BC" w:rsidRPr="000403BC" w:rsidRDefault="000403BC" w:rsidP="005227BF">
      <w:pPr>
        <w:numPr>
          <w:ilvl w:val="0"/>
          <w:numId w:val="7"/>
        </w:numPr>
      </w:pPr>
      <w:r w:rsidRPr="000403BC">
        <w:t xml:space="preserve">Imponer las costas por su orden. </w:t>
      </w:r>
    </w:p>
    <w:p w14:paraId="5BDC1085" w14:textId="77777777" w:rsidR="000403BC" w:rsidRPr="000403BC" w:rsidRDefault="000403BC" w:rsidP="005227BF">
      <w:pPr>
        <w:numPr>
          <w:ilvl w:val="0"/>
          <w:numId w:val="7"/>
        </w:numPr>
      </w:pPr>
      <w:r w:rsidRPr="000403BC">
        <w:t xml:space="preserve">Disponer las comunicaciones correspondientes a la ARCA. </w:t>
      </w:r>
    </w:p>
    <w:p w14:paraId="24729B01" w14:textId="77777777" w:rsidR="000403BC" w:rsidRPr="000403BC" w:rsidRDefault="000403BC" w:rsidP="000403BC">
      <w:r w:rsidRPr="000403BC">
        <w:t>En síntesis, la resolución no se apoya en una adhesión expresa de la magistrada a la tesis de la ley penal más benigna, sino en la circunstancia de que el Ministerio Público Fiscal, pese a mantener su posición doctrinaria contraria a esa interpretación, decidió no sostener la persecución penal en el caso concreto, lo que llevó al Tribunal a dictar el sobreseimiento de los imputados</w:t>
      </w:r>
    </w:p>
    <w:p w14:paraId="0C3FDE7E" w14:textId="1D9F3D2A" w:rsidR="00490E2A" w:rsidRDefault="00490E2A" w:rsidP="00A245F2"/>
    <w:p w14:paraId="00FA3F0A" w14:textId="4F44D43F" w:rsidR="00F167B7" w:rsidRPr="004D225C" w:rsidRDefault="00F167B7" w:rsidP="00A245F2">
      <w:pPr>
        <w:rPr>
          <w:sz w:val="36"/>
          <w:szCs w:val="36"/>
        </w:rPr>
      </w:pPr>
      <w:r w:rsidRPr="004D225C">
        <w:rPr>
          <w:sz w:val="36"/>
          <w:szCs w:val="36"/>
        </w:rPr>
        <w:t>FALLO VI</w:t>
      </w:r>
    </w:p>
    <w:p w14:paraId="2CE978CC" w14:textId="77777777" w:rsidR="00F167B7" w:rsidRPr="00F167B7" w:rsidRDefault="00F167B7" w:rsidP="00F167B7">
      <w:r w:rsidRPr="00F167B7">
        <w:rPr>
          <w:b/>
          <w:bCs/>
        </w:rPr>
        <w:t>Autos:</w:t>
      </w:r>
      <w:r w:rsidRPr="00F167B7">
        <w:t xml:space="preserve"> “Incidente de reposición formado en la causa N.º CPE 622/2024, caratulada ‘Multiplycard S.A. y otros s/ inf. Ley 27.430’” (Expte. N.º CPE 622/2024/1/CA1).</w:t>
      </w:r>
      <w:r w:rsidRPr="00F167B7">
        <w:br/>
      </w:r>
      <w:r w:rsidRPr="00F167B7">
        <w:rPr>
          <w:b/>
          <w:bCs/>
        </w:rPr>
        <w:t>Tribunal:</w:t>
      </w:r>
      <w:r w:rsidRPr="00F167B7">
        <w:t xml:space="preserve"> Sala B de la Cámara Nacional de Apelaciones en lo Penal Económico.</w:t>
      </w:r>
      <w:r w:rsidRPr="00F167B7">
        <w:br/>
      </w:r>
      <w:r w:rsidRPr="00F167B7">
        <w:rPr>
          <w:b/>
          <w:bCs/>
        </w:rPr>
        <w:t>Fecha de resolución:</w:t>
      </w:r>
      <w:r w:rsidRPr="00F167B7">
        <w:t xml:space="preserve"> junio de 2026 (resolución firmada el 8 de junio de 2026 y registrada el 9 de junio de 2026).</w:t>
      </w:r>
      <w:r w:rsidRPr="00F167B7">
        <w:br/>
      </w:r>
      <w:r w:rsidRPr="00F167B7">
        <w:rPr>
          <w:b/>
          <w:bCs/>
        </w:rPr>
        <w:t>Jueces:</w:t>
      </w:r>
      <w:r w:rsidRPr="00F167B7">
        <w:t xml:space="preserve"> Roberto Enrique Hornos y Carolina Robiglio. </w:t>
      </w:r>
    </w:p>
    <w:p w14:paraId="13CBEB26" w14:textId="77777777" w:rsidR="00F167B7" w:rsidRPr="00F167B7" w:rsidRDefault="00F167B7" w:rsidP="00F167B7">
      <w:pPr>
        <w:rPr>
          <w:b/>
          <w:bCs/>
        </w:rPr>
      </w:pPr>
      <w:r w:rsidRPr="00F167B7">
        <w:rPr>
          <w:b/>
          <w:bCs/>
        </w:rPr>
        <w:t>Antecedentes fácticos y jurídicos</w:t>
      </w:r>
    </w:p>
    <w:p w14:paraId="1108DDC2" w14:textId="77777777" w:rsidR="00F167B7" w:rsidRPr="00F167B7" w:rsidRDefault="00F167B7" w:rsidP="00F167B7">
      <w:r w:rsidRPr="00F167B7">
        <w:t xml:space="preserve">La causa se originó a partir de una denuncia formulada por la entonces AFIP (actual ARCA), mediante la cual se atribuyó a los responsables de </w:t>
      </w:r>
      <w:r w:rsidRPr="00F167B7">
        <w:rPr>
          <w:b/>
          <w:bCs/>
        </w:rPr>
        <w:t>Multiplycard S.A.</w:t>
      </w:r>
      <w:r w:rsidRPr="00F167B7">
        <w:t xml:space="preserve"> y a otras sociedades vinculadas (Asociación Mutual Asis, Cambio Baires S.A. y Giro Express S.A.) la presunta evasión de aportes y contribuciones al Régimen Nacional de la Seguridad Social mediante la utilización de trabajadores registrados como monotributistas y la interposición de personas jurídicas. Los hechos investigados comprendían el período enero de 2023 a febrero de 2024. </w:t>
      </w:r>
    </w:p>
    <w:p w14:paraId="1C3023DC" w14:textId="77777777" w:rsidR="00F167B7" w:rsidRPr="00F167B7" w:rsidRDefault="00F167B7" w:rsidP="00F167B7">
      <w:r w:rsidRPr="00F167B7">
        <w:t xml:space="preserve">A raíz de esa denuncia, el Ministerio Público Fiscal promovió la acción penal y el juez de primera instancia dispuso la instrucción del sumario y diversas medidas de prueba. Sin embargo, tras la entrada en vigencia de la Ley 27.799, el fiscal consideró que los montos denunciados ya no alcanzaban la nueva condición objetiva de punibilidad prevista para los delitos contra la seguridad social y solicitó el archivo de las actuaciones. </w:t>
      </w:r>
    </w:p>
    <w:p w14:paraId="7DDC743A" w14:textId="77777777" w:rsidR="00F167B7" w:rsidRPr="00F167B7" w:rsidRDefault="00F167B7" w:rsidP="00F167B7">
      <w:r w:rsidRPr="00F167B7">
        <w:t xml:space="preserve">El juez de primera instancia hizo lugar a ese planteo y archivó la causa por entender que los hechos investigados habían quedado despenalizados y que no existía posibilidad de continuar el proceso ante la ausencia de impulso fiscal. </w:t>
      </w:r>
    </w:p>
    <w:p w14:paraId="0D63D5F3" w14:textId="77777777" w:rsidR="00F167B7" w:rsidRPr="00F167B7" w:rsidRDefault="00F167B7" w:rsidP="00F167B7">
      <w:r w:rsidRPr="00F167B7">
        <w:t xml:space="preserve">Contra esa decisión apeló la querella (ARCA), dando lugar a la intervención de la Cámara. </w:t>
      </w:r>
    </w:p>
    <w:p w14:paraId="4A138EF0" w14:textId="77777777" w:rsidR="00F167B7" w:rsidRPr="00F167B7" w:rsidRDefault="00F167B7" w:rsidP="00F167B7">
      <w:pPr>
        <w:rPr>
          <w:b/>
          <w:bCs/>
        </w:rPr>
      </w:pPr>
      <w:r w:rsidRPr="00F167B7">
        <w:rPr>
          <w:b/>
          <w:bCs/>
        </w:rPr>
        <w:t>Postura de la querella (ARCA)</w:t>
      </w:r>
    </w:p>
    <w:p w14:paraId="6B5F67D9" w14:textId="77777777" w:rsidR="00F167B7" w:rsidRPr="00F167B7" w:rsidRDefault="00F167B7" w:rsidP="00F167B7">
      <w:r w:rsidRPr="00F167B7">
        <w:t>La querella sostuvo que el archivo era prematuro e improcedente. Argumentó que:</w:t>
      </w:r>
    </w:p>
    <w:p w14:paraId="461FE7CB" w14:textId="77777777" w:rsidR="00F167B7" w:rsidRPr="00F167B7" w:rsidRDefault="00F167B7" w:rsidP="005227BF">
      <w:pPr>
        <w:numPr>
          <w:ilvl w:val="0"/>
          <w:numId w:val="8"/>
        </w:numPr>
      </w:pPr>
      <w:r w:rsidRPr="00F167B7">
        <w:t xml:space="preserve">Existían elementos probatorios suficientes para continuar la investigación y ordenar allanamientos previamente solicitados. </w:t>
      </w:r>
    </w:p>
    <w:p w14:paraId="510C293E" w14:textId="77777777" w:rsidR="00F167B7" w:rsidRPr="00F167B7" w:rsidRDefault="00F167B7" w:rsidP="005227BF">
      <w:pPr>
        <w:numPr>
          <w:ilvl w:val="0"/>
          <w:numId w:val="8"/>
        </w:numPr>
      </w:pPr>
      <w:r w:rsidRPr="00F167B7">
        <w:lastRenderedPageBreak/>
        <w:t xml:space="preserve">No se le había conferido vista del dictamen fiscal que propiciaba el archivo. </w:t>
      </w:r>
    </w:p>
    <w:p w14:paraId="5A9708D6" w14:textId="77777777" w:rsidR="00F167B7" w:rsidRPr="00F167B7" w:rsidRDefault="00F167B7" w:rsidP="005227BF">
      <w:pPr>
        <w:numPr>
          <w:ilvl w:val="0"/>
          <w:numId w:val="8"/>
        </w:numPr>
      </w:pPr>
      <w:r w:rsidRPr="00F167B7">
        <w:t xml:space="preserve">Los montos consignados en la denuncia constituían únicamente un cálculo mínimo y provisorio. </w:t>
      </w:r>
    </w:p>
    <w:p w14:paraId="6F3AE75C" w14:textId="77777777" w:rsidR="00F167B7" w:rsidRPr="00F167B7" w:rsidRDefault="00F167B7" w:rsidP="005227BF">
      <w:pPr>
        <w:numPr>
          <w:ilvl w:val="0"/>
          <w:numId w:val="8"/>
        </w:numPr>
      </w:pPr>
      <w:r w:rsidRPr="00F167B7">
        <w:t xml:space="preserve">Existían indicios de que la cantidad real de trabajadores involucrados era sustancialmente superior a la considerada inicialmente. </w:t>
      </w:r>
    </w:p>
    <w:p w14:paraId="41CAAAA9" w14:textId="77777777" w:rsidR="00F167B7" w:rsidRPr="00F167B7" w:rsidRDefault="00F167B7" w:rsidP="00F167B7">
      <w:r w:rsidRPr="00F167B7">
        <w:t xml:space="preserve">Durante la apelación agregó que el ajuste practicado inicialmente se había calculado sobre 61 empleados, mientras que en las tareas de constatación se habían detectado 108 personas en actividad laboral, por lo que el perjuicio fiscal real podría resultar significativamente superior al denunciado originalmente. </w:t>
      </w:r>
    </w:p>
    <w:p w14:paraId="1701E126" w14:textId="77777777" w:rsidR="00F167B7" w:rsidRPr="00F167B7" w:rsidRDefault="00F167B7" w:rsidP="00F167B7">
      <w:proofErr w:type="gramStart"/>
      <w:r w:rsidRPr="00F167B7">
        <w:t>Asimismo</w:t>
      </w:r>
      <w:proofErr w:type="gramEnd"/>
      <w:r w:rsidRPr="00F167B7">
        <w:t xml:space="preserve"> sostuvo que la ausencia de impulso fiscal no impedía continuar la investigación una vez promovida válidamente la acción penal. </w:t>
      </w:r>
    </w:p>
    <w:p w14:paraId="3E273AC8" w14:textId="77777777" w:rsidR="00F167B7" w:rsidRPr="00F167B7" w:rsidRDefault="00F167B7" w:rsidP="00F167B7">
      <w:pPr>
        <w:rPr>
          <w:b/>
          <w:bCs/>
        </w:rPr>
      </w:pPr>
      <w:r w:rsidRPr="00F167B7">
        <w:rPr>
          <w:b/>
          <w:bCs/>
        </w:rPr>
        <w:t>Postura de la fiscalía</w:t>
      </w:r>
    </w:p>
    <w:p w14:paraId="0206EB8B" w14:textId="77777777" w:rsidR="00F167B7" w:rsidRPr="00F167B7" w:rsidRDefault="00F167B7" w:rsidP="00F167B7">
      <w:r w:rsidRPr="00F167B7">
        <w:t xml:space="preserve">El Ministerio Público Fiscal entendió que la entrada en vigencia de la Ley 27.799 había elevado el monto mínimo de punibilidad de los delitos vinculados a recursos de la seguridad social desde $200.000 a $7.000.000 por período mensual. Como los montos atribuidos en la denuncia no alcanzaban ese nuevo umbral, concluyó que los hechos habían quedado despenalizados. </w:t>
      </w:r>
    </w:p>
    <w:p w14:paraId="5E86E1A6" w14:textId="77777777" w:rsidR="00F167B7" w:rsidRPr="00F167B7" w:rsidRDefault="00F167B7" w:rsidP="00F167B7">
      <w:r w:rsidRPr="00F167B7">
        <w:t xml:space="preserve">Por ello solicitó el archivo de las actuaciones y consideró innecesario avanzar con imputaciones formales o requerir sobreseimientos. </w:t>
      </w:r>
    </w:p>
    <w:p w14:paraId="778B994F" w14:textId="77777777" w:rsidR="00F167B7" w:rsidRPr="00F167B7" w:rsidRDefault="00F167B7" w:rsidP="00F167B7">
      <w:pPr>
        <w:rPr>
          <w:b/>
          <w:bCs/>
        </w:rPr>
      </w:pPr>
      <w:r w:rsidRPr="00F167B7">
        <w:rPr>
          <w:b/>
          <w:bCs/>
        </w:rPr>
        <w:t>Postura de la defensa</w:t>
      </w:r>
    </w:p>
    <w:p w14:paraId="41857425" w14:textId="77777777" w:rsidR="00F167B7" w:rsidRPr="00F167B7" w:rsidRDefault="00F167B7" w:rsidP="00F167B7">
      <w:r w:rsidRPr="00F167B7">
        <w:t xml:space="preserve">La resolución no registra una intervención específica de la defensa porque la causa se encontraba todavía en etapa de instrucción y no existían imputados formalmente indagados. El debate procesal se desarrolló esencialmente entre la fiscalía, la querella y el juez instructor respecto de la procedencia del archivo. </w:t>
      </w:r>
    </w:p>
    <w:p w14:paraId="37C58071" w14:textId="77777777" w:rsidR="00F167B7" w:rsidRPr="00F167B7" w:rsidRDefault="00F167B7" w:rsidP="00F167B7">
      <w:pPr>
        <w:rPr>
          <w:b/>
          <w:bCs/>
        </w:rPr>
      </w:pPr>
      <w:r w:rsidRPr="00F167B7">
        <w:rPr>
          <w:b/>
          <w:bCs/>
        </w:rPr>
        <w:t>Posición de los jueces Hornos y Robiglio</w:t>
      </w:r>
    </w:p>
    <w:p w14:paraId="2EDD3017" w14:textId="77777777" w:rsidR="00F167B7" w:rsidRPr="00F167B7" w:rsidRDefault="00F167B7" w:rsidP="00F167B7">
      <w:r w:rsidRPr="00F167B7">
        <w:t xml:space="preserve">Los jueces Hornos y Robiglio rechazaron el criterio seguido por el juez de primera instancia y consideraron errónea la conclusión según la cual la falta de impulso fiscal impedía continuar la investigación. </w:t>
      </w:r>
    </w:p>
    <w:p w14:paraId="768AAF4E" w14:textId="77777777" w:rsidR="00F167B7" w:rsidRPr="00F167B7" w:rsidRDefault="00F167B7" w:rsidP="00F167B7">
      <w:r w:rsidRPr="00F167B7">
        <w:t>La Cámara recordó que:</w:t>
      </w:r>
    </w:p>
    <w:p w14:paraId="41743215" w14:textId="77777777" w:rsidR="00F167B7" w:rsidRPr="00F167B7" w:rsidRDefault="00F167B7" w:rsidP="005227BF">
      <w:pPr>
        <w:numPr>
          <w:ilvl w:val="0"/>
          <w:numId w:val="9"/>
        </w:numPr>
      </w:pPr>
      <w:r w:rsidRPr="00F167B7">
        <w:t xml:space="preserve">La acción penal había sido válidamente promovida por el propio Ministerio Público Fiscal mediante requerimiento de instrucción. </w:t>
      </w:r>
    </w:p>
    <w:p w14:paraId="21B21517" w14:textId="77777777" w:rsidR="00F167B7" w:rsidRPr="00F167B7" w:rsidRDefault="00F167B7" w:rsidP="005227BF">
      <w:pPr>
        <w:numPr>
          <w:ilvl w:val="0"/>
          <w:numId w:val="9"/>
        </w:numPr>
      </w:pPr>
      <w:r w:rsidRPr="00F167B7">
        <w:t xml:space="preserve">Una vez iniciada la instrucción, el posterior pedido de archivo formulado por el fiscal no tiene carácter vinculante para el juez instructor. </w:t>
      </w:r>
    </w:p>
    <w:p w14:paraId="47DFD571" w14:textId="77777777" w:rsidR="00F167B7" w:rsidRPr="00F167B7" w:rsidRDefault="00F167B7" w:rsidP="005227BF">
      <w:pPr>
        <w:numPr>
          <w:ilvl w:val="0"/>
          <w:numId w:val="9"/>
        </w:numPr>
      </w:pPr>
      <w:r w:rsidRPr="00F167B7">
        <w:t xml:space="preserve">El sistema procesal vigente mantiene en cabeza del juez amplias facultades de investigación durante la etapa instructoria. </w:t>
      </w:r>
    </w:p>
    <w:p w14:paraId="710C31D4" w14:textId="77777777" w:rsidR="00F167B7" w:rsidRPr="00F167B7" w:rsidRDefault="00F167B7" w:rsidP="005227BF">
      <w:pPr>
        <w:numPr>
          <w:ilvl w:val="0"/>
          <w:numId w:val="9"/>
        </w:numPr>
      </w:pPr>
      <w:r w:rsidRPr="00F167B7">
        <w:t xml:space="preserve">No existía certeza suficiente para concluir que los hechos resultaban atípicos, porque los montos denunciados podrían no reflejar la verdadera dimensión del perjuicio fiscal. </w:t>
      </w:r>
    </w:p>
    <w:p w14:paraId="7BE093CA" w14:textId="77777777" w:rsidR="00F167B7" w:rsidRPr="00F167B7" w:rsidRDefault="00F167B7" w:rsidP="00F167B7">
      <w:r w:rsidRPr="00F167B7">
        <w:t xml:space="preserve">Particularmente, los magistrados destacaron que la querella había señalado la posible existencia de un número significativamente mayor de trabajadores involucrados y que ese </w:t>
      </w:r>
      <w:r w:rsidRPr="00F167B7">
        <w:lastRenderedPageBreak/>
        <w:t xml:space="preserve">extremo no había sido investigado ni analizado por el juez instructor antes de disponer el archivo. </w:t>
      </w:r>
    </w:p>
    <w:p w14:paraId="71929D4C" w14:textId="77777777" w:rsidR="00F167B7" w:rsidRPr="00F167B7" w:rsidRDefault="00F167B7" w:rsidP="00F167B7">
      <w:r w:rsidRPr="00F167B7">
        <w:t xml:space="preserve">También señalaron que debía verificarse la cuestión relativa al domicilio fiscal de la empresa denunciada, por sus eventuales implicancias en materia de competencia territorial. </w:t>
      </w:r>
    </w:p>
    <w:p w14:paraId="20A962A0" w14:textId="77777777" w:rsidR="00F167B7" w:rsidRPr="00F167B7" w:rsidRDefault="00F167B7" w:rsidP="00F167B7">
      <w:pPr>
        <w:rPr>
          <w:b/>
          <w:bCs/>
        </w:rPr>
      </w:pPr>
      <w:r w:rsidRPr="00F167B7">
        <w:rPr>
          <w:b/>
          <w:bCs/>
        </w:rPr>
        <w:t>Resolución</w:t>
      </w:r>
    </w:p>
    <w:p w14:paraId="1D394AE6" w14:textId="77777777" w:rsidR="00F167B7" w:rsidRPr="00F167B7" w:rsidRDefault="00F167B7" w:rsidP="00F167B7">
      <w:r w:rsidRPr="00F167B7">
        <w:t xml:space="preserve">La Sala B resolvió </w:t>
      </w:r>
      <w:r w:rsidRPr="00F167B7">
        <w:rPr>
          <w:b/>
          <w:bCs/>
        </w:rPr>
        <w:t>revocar la resolución apelada</w:t>
      </w:r>
      <w:r w:rsidRPr="00F167B7">
        <w:t xml:space="preserve"> que había dispuesto el archivo de las actuaciones y devolver la causa para que continúe la investigación. </w:t>
      </w:r>
    </w:p>
    <w:p w14:paraId="39FB2AED" w14:textId="77777777" w:rsidR="00F167B7" w:rsidRPr="00F167B7" w:rsidRDefault="00F167B7" w:rsidP="00F167B7">
      <w:r w:rsidRPr="00F167B7">
        <w:t>En síntesis, la Cámara entendió que:</w:t>
      </w:r>
    </w:p>
    <w:p w14:paraId="73AAA9F9" w14:textId="77777777" w:rsidR="00F167B7" w:rsidRPr="00F167B7" w:rsidRDefault="00F167B7" w:rsidP="005227BF">
      <w:pPr>
        <w:numPr>
          <w:ilvl w:val="0"/>
          <w:numId w:val="10"/>
        </w:numPr>
      </w:pPr>
      <w:r w:rsidRPr="00F167B7">
        <w:t xml:space="preserve">El pedido de archivo formulado por la fiscalía no era vinculante para el juez instructor. </w:t>
      </w:r>
    </w:p>
    <w:p w14:paraId="7547BA87" w14:textId="77777777" w:rsidR="00F167B7" w:rsidRPr="00F167B7" w:rsidRDefault="00F167B7" w:rsidP="005227BF">
      <w:pPr>
        <w:numPr>
          <w:ilvl w:val="0"/>
          <w:numId w:val="10"/>
        </w:numPr>
      </w:pPr>
      <w:r w:rsidRPr="00F167B7">
        <w:t xml:space="preserve">No existía certeza suficiente para afirmar que los hechos investigados hubieran quedado despenalizados por la Ley 27.799. </w:t>
      </w:r>
    </w:p>
    <w:p w14:paraId="5BCBBDA9" w14:textId="77777777" w:rsidR="00F167B7" w:rsidRPr="00F167B7" w:rsidRDefault="00F167B7" w:rsidP="005227BF">
      <w:pPr>
        <w:numPr>
          <w:ilvl w:val="0"/>
          <w:numId w:val="10"/>
        </w:numPr>
      </w:pPr>
      <w:r w:rsidRPr="00F167B7">
        <w:t xml:space="preserve">Persistían líneas investigativas relevantes que debían profundizarse, especialmente en relación con la verdadera magnitud del perjuicio fiscal y la cantidad de trabajadores involucrados. </w:t>
      </w:r>
    </w:p>
    <w:p w14:paraId="3237D689" w14:textId="77777777" w:rsidR="00F167B7" w:rsidRPr="00F167B7" w:rsidRDefault="00F167B7" w:rsidP="005227BF">
      <w:pPr>
        <w:numPr>
          <w:ilvl w:val="0"/>
          <w:numId w:val="10"/>
        </w:numPr>
      </w:pPr>
      <w:r w:rsidRPr="00F167B7">
        <w:t>Por ello, resultaba prematuro clausurar la investigación mediante un archivo</w:t>
      </w:r>
    </w:p>
    <w:p w14:paraId="12622F7C" w14:textId="610C08D8" w:rsidR="00F167B7" w:rsidRDefault="00F167B7" w:rsidP="00A245F2"/>
    <w:p w14:paraId="25BC24CE" w14:textId="09A0F82D" w:rsidR="004D225C" w:rsidRPr="004D225C" w:rsidRDefault="004D225C" w:rsidP="00A245F2">
      <w:pPr>
        <w:rPr>
          <w:b/>
          <w:bCs/>
          <w:sz w:val="36"/>
          <w:szCs w:val="36"/>
        </w:rPr>
      </w:pPr>
      <w:r w:rsidRPr="004D225C">
        <w:rPr>
          <w:b/>
          <w:bCs/>
          <w:sz w:val="36"/>
          <w:szCs w:val="36"/>
        </w:rPr>
        <w:t>FALLO VII</w:t>
      </w:r>
    </w:p>
    <w:p w14:paraId="789A0076" w14:textId="77777777" w:rsidR="004D225C" w:rsidRPr="004D225C" w:rsidRDefault="004D225C" w:rsidP="004D225C">
      <w:r w:rsidRPr="004D225C">
        <w:rPr>
          <w:b/>
          <w:bCs/>
        </w:rPr>
        <w:t>Autos:</w:t>
      </w:r>
      <w:r w:rsidRPr="004D225C">
        <w:t xml:space="preserve"> “Donaire, Luciano s/ recurso de revisión” (CPE 536/2016/TO1/40/RH18).</w:t>
      </w:r>
      <w:r w:rsidRPr="004D225C">
        <w:br/>
      </w:r>
      <w:r w:rsidRPr="004D225C">
        <w:rPr>
          <w:b/>
          <w:bCs/>
        </w:rPr>
        <w:t>Tribunal:</w:t>
      </w:r>
      <w:r w:rsidRPr="004D225C">
        <w:t xml:space="preserve"> Sala II de la Cámara Federal de Casación Penal.</w:t>
      </w:r>
      <w:r w:rsidRPr="004D225C">
        <w:br/>
      </w:r>
      <w:r w:rsidRPr="004D225C">
        <w:rPr>
          <w:b/>
          <w:bCs/>
        </w:rPr>
        <w:t>Fecha de resolución:</w:t>
      </w:r>
      <w:r w:rsidRPr="004D225C">
        <w:t xml:space="preserve"> 17 de junio de 2026.</w:t>
      </w:r>
      <w:r w:rsidRPr="004D225C">
        <w:br/>
      </w:r>
      <w:r w:rsidRPr="004D225C">
        <w:rPr>
          <w:b/>
          <w:bCs/>
        </w:rPr>
        <w:t>Integración:</w:t>
      </w:r>
      <w:r w:rsidRPr="004D225C">
        <w:t xml:space="preserve"> jueces Gustavo M. Hornos, Javier Carbajo y Mariano Hernán Borinsky. </w:t>
      </w:r>
    </w:p>
    <w:p w14:paraId="471097D7" w14:textId="77777777" w:rsidR="004D225C" w:rsidRPr="004D225C" w:rsidRDefault="004D225C" w:rsidP="004D225C">
      <w:pPr>
        <w:rPr>
          <w:b/>
          <w:bCs/>
        </w:rPr>
      </w:pPr>
      <w:r w:rsidRPr="004D225C">
        <w:rPr>
          <w:b/>
          <w:bCs/>
        </w:rPr>
        <w:t>Antecedentes fácticos y jurídicos</w:t>
      </w:r>
    </w:p>
    <w:p w14:paraId="629DFF60" w14:textId="77777777" w:rsidR="004D225C" w:rsidRPr="004D225C" w:rsidRDefault="004D225C" w:rsidP="004D225C">
      <w:r w:rsidRPr="004D225C">
        <w:t xml:space="preserve">Luciano Donaire había sido condenado por el Tribunal Oral en lo Penal Económico N.º 3 como coautor del delito de apropiación indebida de recursos de la seguridad social, previsto en el artículo 9 de la Ley 24.769, por haber omitido depositar aportes retenidos a empleados registrados de la Sucesión Adelmo Biancalani correspondientes al mes de mayo de 2012. Se le impuso una pena de dos años de prisión en suspenso. </w:t>
      </w:r>
    </w:p>
    <w:p w14:paraId="625AF1C5" w14:textId="77777777" w:rsidR="004D225C" w:rsidRPr="004D225C" w:rsidRDefault="004D225C" w:rsidP="004D225C">
      <w:r w:rsidRPr="004D225C">
        <w:t xml:space="preserve">La condena fue confirmada por la propia Sala II de Casación el 11 de septiembre de 2025 y adquirió firmeza al no haberse interpuesto recurso extraordinario federal. </w:t>
      </w:r>
    </w:p>
    <w:p w14:paraId="55FA01FC" w14:textId="77777777" w:rsidR="004D225C" w:rsidRPr="004D225C" w:rsidRDefault="004D225C" w:rsidP="004D225C">
      <w:r w:rsidRPr="004D225C">
        <w:t xml:space="preserve">Posteriormente entró en vigencia la Ley 27.799, que elevó el monto mínimo exigido para la configuración del delito de apropiación indebida de recursos de la seguridad social desde $100.000 a $3.500.000 por período mensual. Frente a ello, la defensa promovió un recurso de revisión fundado en la aplicación retroactiva de la ley penal más benigna. </w:t>
      </w:r>
    </w:p>
    <w:p w14:paraId="732AFE34" w14:textId="77777777" w:rsidR="004D225C" w:rsidRPr="004D225C" w:rsidRDefault="004D225C" w:rsidP="004D225C">
      <w:r w:rsidRPr="004D225C">
        <w:t xml:space="preserve">La cuestión jurídica central consistió en determinar si la modificación introducida por la Ley 27.799 podía aplicarse a una condena firme mediante el recurso extraordinario de revisión previsto en el artículo 366 inciso e) del Código Procesal Penal Federal. </w:t>
      </w:r>
    </w:p>
    <w:p w14:paraId="5367130A" w14:textId="77777777" w:rsidR="004D225C" w:rsidRPr="004D225C" w:rsidRDefault="004D225C" w:rsidP="004D225C">
      <w:pPr>
        <w:rPr>
          <w:b/>
          <w:bCs/>
        </w:rPr>
      </w:pPr>
      <w:r w:rsidRPr="004D225C">
        <w:rPr>
          <w:b/>
          <w:bCs/>
        </w:rPr>
        <w:t>Postura de la defensa</w:t>
      </w:r>
    </w:p>
    <w:p w14:paraId="3452541B" w14:textId="77777777" w:rsidR="004D225C" w:rsidRPr="004D225C" w:rsidRDefault="004D225C" w:rsidP="004D225C">
      <w:r w:rsidRPr="004D225C">
        <w:lastRenderedPageBreak/>
        <w:t xml:space="preserve">La defensa sostuvo que la Ley 27.799 configuraba una ley penal más benigna en los términos del artículo 2 del Código Penal, del artículo 9 de la Convención Americana sobre Derechos Humanos y del artículo 15.1 del Pacto Internacional de Derechos Civiles y Políticos. </w:t>
      </w:r>
    </w:p>
    <w:p w14:paraId="557151BF" w14:textId="77777777" w:rsidR="004D225C" w:rsidRPr="004D225C" w:rsidRDefault="004D225C" w:rsidP="004D225C">
      <w:r w:rsidRPr="004D225C">
        <w:t xml:space="preserve">Argumentó que el monto atribuido a Donaire ($240.697,10) resultaba muy inferior al nuevo umbral de $3.500.000 exigido por la ley vigente, por lo que la conducta había perdido relevancia penal. Invocó expresamente los precedentes de la Corte Suprema “Palero” y “Vidal” y solicitó que se dejara sin efecto la condena y se absolviera al imputado. </w:t>
      </w:r>
    </w:p>
    <w:p w14:paraId="7759E03A" w14:textId="77777777" w:rsidR="004D225C" w:rsidRPr="004D225C" w:rsidRDefault="004D225C" w:rsidP="004D225C">
      <w:pPr>
        <w:rPr>
          <w:b/>
          <w:bCs/>
        </w:rPr>
      </w:pPr>
      <w:r w:rsidRPr="004D225C">
        <w:rPr>
          <w:b/>
          <w:bCs/>
        </w:rPr>
        <w:t>Postura de la fiscalía</w:t>
      </w:r>
    </w:p>
    <w:p w14:paraId="4DFC1B16" w14:textId="77777777" w:rsidR="004D225C" w:rsidRPr="004D225C" w:rsidRDefault="004D225C" w:rsidP="004D225C">
      <w:r w:rsidRPr="004D225C">
        <w:t xml:space="preserve">El </w:t>
      </w:r>
      <w:proofErr w:type="gramStart"/>
      <w:r w:rsidRPr="004D225C">
        <w:t>Fiscal General</w:t>
      </w:r>
      <w:proofErr w:type="gramEnd"/>
      <w:r w:rsidRPr="004D225C">
        <w:t xml:space="preserve"> ante la Cámara adhirió al planteo de la defensa y acompañó la solicitud de tratamiento favorable del recurso de revisión. No formuló oposición a la aplicación de la Ley 27.799 ni a la eventual absolución del condenado. </w:t>
      </w:r>
    </w:p>
    <w:p w14:paraId="5BA80B4F" w14:textId="77777777" w:rsidR="004D225C" w:rsidRPr="004D225C" w:rsidRDefault="004D225C" w:rsidP="004D225C">
      <w:pPr>
        <w:rPr>
          <w:b/>
          <w:bCs/>
        </w:rPr>
      </w:pPr>
      <w:r w:rsidRPr="004D225C">
        <w:rPr>
          <w:b/>
          <w:bCs/>
        </w:rPr>
        <w:t>Postura de la querella</w:t>
      </w:r>
    </w:p>
    <w:p w14:paraId="58C6BA40" w14:textId="77777777" w:rsidR="004D225C" w:rsidRPr="004D225C" w:rsidRDefault="004D225C" w:rsidP="004D225C">
      <w:r w:rsidRPr="004D225C">
        <w:t xml:space="preserve">La querella solicitó el rechazo del recurso de revisión. Su argumento central fue que la condena se encontraba firme y amparada por la autoridad de cosa juzgada. </w:t>
      </w:r>
    </w:p>
    <w:p w14:paraId="5AE4204F" w14:textId="77777777" w:rsidR="004D225C" w:rsidRPr="004D225C" w:rsidRDefault="004D225C" w:rsidP="004D225C">
      <w:r w:rsidRPr="004D225C">
        <w:t>Sostuvo que:</w:t>
      </w:r>
    </w:p>
    <w:p w14:paraId="7CB86896" w14:textId="77777777" w:rsidR="004D225C" w:rsidRPr="004D225C" w:rsidRDefault="004D225C" w:rsidP="005227BF">
      <w:pPr>
        <w:numPr>
          <w:ilvl w:val="0"/>
          <w:numId w:val="11"/>
        </w:numPr>
      </w:pPr>
      <w:r w:rsidRPr="004D225C">
        <w:t xml:space="preserve">El artículo 2 del Código Penal no habilita la revisión del juicio de culpabilidad cuando la condena ya se encuentra firme. </w:t>
      </w:r>
    </w:p>
    <w:p w14:paraId="4991464A" w14:textId="77777777" w:rsidR="004D225C" w:rsidRPr="004D225C" w:rsidRDefault="004D225C" w:rsidP="005227BF">
      <w:pPr>
        <w:numPr>
          <w:ilvl w:val="0"/>
          <w:numId w:val="11"/>
        </w:numPr>
      </w:pPr>
      <w:r w:rsidRPr="004D225C">
        <w:t xml:space="preserve">La Ley 27.799 no desincriminó la </w:t>
      </w:r>
      <w:proofErr w:type="gramStart"/>
      <w:r w:rsidRPr="004D225C">
        <w:t>conducta</w:t>
      </w:r>
      <w:proofErr w:type="gramEnd"/>
      <w:r w:rsidRPr="004D225C">
        <w:t xml:space="preserve"> sino que únicamente actualizó montos monetarios. </w:t>
      </w:r>
    </w:p>
    <w:p w14:paraId="65427234" w14:textId="77777777" w:rsidR="004D225C" w:rsidRPr="004D225C" w:rsidRDefault="004D225C" w:rsidP="005227BF">
      <w:pPr>
        <w:numPr>
          <w:ilvl w:val="0"/>
          <w:numId w:val="11"/>
        </w:numPr>
      </w:pPr>
      <w:r w:rsidRPr="004D225C">
        <w:t xml:space="preserve">Los precedentes “Palero”, “Vidal” y “Cristalux” no eran aplicables porque se referían a procesos que aún no tenían sentencia firme. </w:t>
      </w:r>
    </w:p>
    <w:p w14:paraId="41240F41" w14:textId="77777777" w:rsidR="004D225C" w:rsidRPr="004D225C" w:rsidRDefault="004D225C" w:rsidP="005227BF">
      <w:pPr>
        <w:numPr>
          <w:ilvl w:val="0"/>
          <w:numId w:val="11"/>
        </w:numPr>
      </w:pPr>
      <w:r w:rsidRPr="004D225C">
        <w:t xml:space="preserve">Resultaban aplicables los precedentes “Soria” y “Giordano” de Casación, que habían rechazado revisiones fundadas en modificaciones posteriores de montos tributarios. </w:t>
      </w:r>
    </w:p>
    <w:p w14:paraId="1F6A0CB4" w14:textId="77777777" w:rsidR="004D225C" w:rsidRPr="004D225C" w:rsidRDefault="004D225C" w:rsidP="005227BF">
      <w:pPr>
        <w:numPr>
          <w:ilvl w:val="0"/>
          <w:numId w:val="11"/>
        </w:numPr>
      </w:pPr>
      <w:r w:rsidRPr="004D225C">
        <w:t xml:space="preserve">La revisión es una vía excepcional que debe interpretarse restrictivamente para preservar la seguridad jurídica y la estabilidad de la cosa juzgada. </w:t>
      </w:r>
    </w:p>
    <w:p w14:paraId="427611EF" w14:textId="77777777" w:rsidR="004D225C" w:rsidRPr="004D225C" w:rsidRDefault="004D225C" w:rsidP="004D225C">
      <w:pPr>
        <w:rPr>
          <w:b/>
          <w:bCs/>
        </w:rPr>
      </w:pPr>
      <w:r w:rsidRPr="004D225C">
        <w:rPr>
          <w:b/>
          <w:bCs/>
        </w:rPr>
        <w:t>Posición de los jueces</w:t>
      </w:r>
    </w:p>
    <w:p w14:paraId="469ACEAC" w14:textId="77777777" w:rsidR="004D225C" w:rsidRPr="004D225C" w:rsidRDefault="004D225C" w:rsidP="004D225C">
      <w:pPr>
        <w:rPr>
          <w:b/>
          <w:bCs/>
        </w:rPr>
      </w:pPr>
      <w:r w:rsidRPr="004D225C">
        <w:rPr>
          <w:b/>
          <w:bCs/>
        </w:rPr>
        <w:t>Voto del juez Gustavo M. Hornos (disidencia)</w:t>
      </w:r>
    </w:p>
    <w:p w14:paraId="3BF775F3" w14:textId="77777777" w:rsidR="004D225C" w:rsidRPr="004D225C" w:rsidRDefault="004D225C" w:rsidP="004D225C">
      <w:r w:rsidRPr="004D225C">
        <w:t xml:space="preserve">El juez Hornos consideró que el recurso era formalmente admisible, pero entendió que debía ser rechazado. </w:t>
      </w:r>
    </w:p>
    <w:p w14:paraId="1F74C079" w14:textId="77777777" w:rsidR="004D225C" w:rsidRPr="004D225C" w:rsidRDefault="004D225C" w:rsidP="004D225C">
      <w:r w:rsidRPr="004D225C">
        <w:t xml:space="preserve">Sostuvo que los precedentes “Palero” y “Vidal” no eran trasladables al caso porque en aquellas causas las sentencias no estaban firmes, mientras que Donaire pretendía revisar una condena pasada en autoridad de cosa juzgada. </w:t>
      </w:r>
    </w:p>
    <w:p w14:paraId="5D08A996" w14:textId="77777777" w:rsidR="004D225C" w:rsidRPr="004D225C" w:rsidRDefault="004D225C" w:rsidP="004D225C">
      <w:r w:rsidRPr="004D225C">
        <w:t xml:space="preserve">Entendió que la Ley 27.799 no desincriminó el delito de apropiación indebida de recursos de la seguridad social, sino que solamente actualizó los montos mínimos para adecuarlos a la depreciación monetaria. Por ello consideró que la modificación legislativa no podía afectar condenas firmes. </w:t>
      </w:r>
    </w:p>
    <w:p w14:paraId="305ED235" w14:textId="77777777" w:rsidR="004D225C" w:rsidRPr="004D225C" w:rsidRDefault="004D225C" w:rsidP="004D225C">
      <w:r w:rsidRPr="004D225C">
        <w:t xml:space="preserve">En consecuencia, propuso rechazar el recurso de revisión. </w:t>
      </w:r>
    </w:p>
    <w:p w14:paraId="40B3189D" w14:textId="77777777" w:rsidR="004D225C" w:rsidRPr="004D225C" w:rsidRDefault="004D225C" w:rsidP="004D225C">
      <w:pPr>
        <w:rPr>
          <w:b/>
          <w:bCs/>
        </w:rPr>
      </w:pPr>
      <w:r w:rsidRPr="004D225C">
        <w:rPr>
          <w:b/>
          <w:bCs/>
        </w:rPr>
        <w:t>Voto del juez Javier Carbajo (mayoría)</w:t>
      </w:r>
    </w:p>
    <w:p w14:paraId="31C42550" w14:textId="77777777" w:rsidR="004D225C" w:rsidRPr="004D225C" w:rsidRDefault="004D225C" w:rsidP="004D225C">
      <w:r w:rsidRPr="004D225C">
        <w:lastRenderedPageBreak/>
        <w:t xml:space="preserve">El juez Carbajo consideró que la Ley 27.799 debía aplicarse retroactivamente por imperio del principio de ley penal más benigna. </w:t>
      </w:r>
    </w:p>
    <w:p w14:paraId="4CD84594" w14:textId="77777777" w:rsidR="004D225C" w:rsidRPr="004D225C" w:rsidRDefault="004D225C" w:rsidP="004D225C">
      <w:r w:rsidRPr="004D225C">
        <w:t xml:space="preserve">Destacó que la nueva legislación elevó el umbral de punibilidad a $3.500.000 y que la conducta atribuida a Donaire involucraba apenas $240.697,10. Por ello concluyó que el hecho había perdido relevancia típica penal. </w:t>
      </w:r>
    </w:p>
    <w:p w14:paraId="1FF21E9A" w14:textId="77777777" w:rsidR="004D225C" w:rsidRPr="004D225C" w:rsidRDefault="004D225C" w:rsidP="004D225C">
      <w:r w:rsidRPr="004D225C">
        <w:t xml:space="preserve">Apoyó su decisión en la doctrina de la Corte Suprema establecida en los precedentes “Palero”, “Vidal” y “Caravetta”, considerando que correspondía la absolución del condenado. </w:t>
      </w:r>
    </w:p>
    <w:p w14:paraId="268CB9A3" w14:textId="77777777" w:rsidR="004D225C" w:rsidRPr="004D225C" w:rsidRDefault="004D225C" w:rsidP="004D225C">
      <w:pPr>
        <w:rPr>
          <w:b/>
          <w:bCs/>
        </w:rPr>
      </w:pPr>
      <w:r w:rsidRPr="004D225C">
        <w:rPr>
          <w:b/>
          <w:bCs/>
        </w:rPr>
        <w:t>Voto del juez Mariano Hernán Borinsky (mayoría)</w:t>
      </w:r>
    </w:p>
    <w:p w14:paraId="7FBA64D3" w14:textId="77777777" w:rsidR="004D225C" w:rsidRPr="004D225C" w:rsidRDefault="004D225C" w:rsidP="004D225C">
      <w:r w:rsidRPr="004D225C">
        <w:t xml:space="preserve">El juez Borinsky adhirió a la solución propuesta por Carbajo. </w:t>
      </w:r>
    </w:p>
    <w:p w14:paraId="2CBADEDA" w14:textId="77777777" w:rsidR="004D225C" w:rsidRPr="004D225C" w:rsidRDefault="004D225C" w:rsidP="004D225C">
      <w:r w:rsidRPr="004D225C">
        <w:t xml:space="preserve">Sostuvo que la Ley 27.799 introdujo un cambio legislativo que debía aplicarse retroactivamente en beneficio del condenado y destacó la autoridad institucional de la doctrina de la Corte Suprema en “Palero”, “Soler”, “Vidal” y “Caravetta”. </w:t>
      </w:r>
    </w:p>
    <w:p w14:paraId="18040FC3" w14:textId="77777777" w:rsidR="004D225C" w:rsidRPr="004D225C" w:rsidRDefault="004D225C" w:rsidP="004D225C">
      <w:r w:rsidRPr="004D225C">
        <w:t xml:space="preserve">Además, remarcó que el Decreto 93/2026 reglamentó expresamente la consideración de los nuevos montos para hechos anteriores a la entrada en vigencia de la Ley 27.799. </w:t>
      </w:r>
    </w:p>
    <w:p w14:paraId="6EDD7903" w14:textId="77777777" w:rsidR="004D225C" w:rsidRPr="004D225C" w:rsidRDefault="004D225C" w:rsidP="004D225C">
      <w:r w:rsidRPr="004D225C">
        <w:t xml:space="preserve">Concluyó que la conducta atribuida a Donaire había dejado de constituir delito y que correspondía absolverlo. </w:t>
      </w:r>
    </w:p>
    <w:p w14:paraId="41786BBD" w14:textId="77777777" w:rsidR="004D225C" w:rsidRPr="004D225C" w:rsidRDefault="004D225C" w:rsidP="004D225C">
      <w:pPr>
        <w:rPr>
          <w:b/>
          <w:bCs/>
        </w:rPr>
      </w:pPr>
      <w:r w:rsidRPr="004D225C">
        <w:rPr>
          <w:b/>
          <w:bCs/>
        </w:rPr>
        <w:t>Resolución</w:t>
      </w:r>
    </w:p>
    <w:p w14:paraId="43CA110B" w14:textId="77777777" w:rsidR="004D225C" w:rsidRPr="004D225C" w:rsidRDefault="004D225C" w:rsidP="004D225C">
      <w:r w:rsidRPr="004D225C">
        <w:t xml:space="preserve">Por mayoría de los jueces Javier Carbajo y Mariano Hernán Borinsky, con disidencia de Gustavo Hornos, la Sala II de la Cámara Federal de Casación Penal hizo lugar al recurso de revisión interpuesto por la defensa y absolvió a Luciano Donaire respecto del hecho por el cual había sido condenado. La decisión se fundó en la aplicación retroactiva de la Ley 27.799 como ley penal más benigna y en la pérdida de relevancia típica de la conducta atribuida. </w:t>
      </w:r>
    </w:p>
    <w:p w14:paraId="39FCB59A" w14:textId="77777777" w:rsidR="004D225C" w:rsidRPr="004D225C" w:rsidRDefault="004D225C" w:rsidP="004D225C">
      <w:r w:rsidRPr="004D225C">
        <w:t>La sentencia constituye uno de los primeros precedentes de la Cámara Federal de Casación Penal que admite la revisión de una condena firme a partir de la entrada en vigencia de la denominada “Ley de Inocencia Fiscal”, aplicando el artículo 366 inciso e) del Código Procesal Penal Federal.</w:t>
      </w:r>
    </w:p>
    <w:p w14:paraId="58D60F57" w14:textId="77777777" w:rsidR="004D225C" w:rsidRDefault="004D225C" w:rsidP="00A245F2"/>
    <w:p w14:paraId="172A4317" w14:textId="77777777" w:rsidR="00F167B7" w:rsidRDefault="00F167B7" w:rsidP="00A245F2"/>
    <w:sectPr w:rsidR="00F167B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82581"/>
    <w:multiLevelType w:val="multilevel"/>
    <w:tmpl w:val="174C4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1171C5"/>
    <w:multiLevelType w:val="multilevel"/>
    <w:tmpl w:val="CF28D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4E77FF"/>
    <w:multiLevelType w:val="multilevel"/>
    <w:tmpl w:val="6CA462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20761E"/>
    <w:multiLevelType w:val="multilevel"/>
    <w:tmpl w:val="487C1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F65451"/>
    <w:multiLevelType w:val="multilevel"/>
    <w:tmpl w:val="D23E2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464AD7"/>
    <w:multiLevelType w:val="multilevel"/>
    <w:tmpl w:val="B90EC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F4A355E"/>
    <w:multiLevelType w:val="multilevel"/>
    <w:tmpl w:val="4A981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2B2723"/>
    <w:multiLevelType w:val="multilevel"/>
    <w:tmpl w:val="5A1E9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91964B4"/>
    <w:multiLevelType w:val="multilevel"/>
    <w:tmpl w:val="2D7A2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A85B14"/>
    <w:multiLevelType w:val="multilevel"/>
    <w:tmpl w:val="8BC47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FAE6F9C"/>
    <w:multiLevelType w:val="multilevel"/>
    <w:tmpl w:val="1B52A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8"/>
  </w:num>
  <w:num w:numId="3">
    <w:abstractNumId w:val="5"/>
  </w:num>
  <w:num w:numId="4">
    <w:abstractNumId w:val="6"/>
  </w:num>
  <w:num w:numId="5">
    <w:abstractNumId w:val="3"/>
  </w:num>
  <w:num w:numId="6">
    <w:abstractNumId w:val="4"/>
  </w:num>
  <w:num w:numId="7">
    <w:abstractNumId w:val="10"/>
  </w:num>
  <w:num w:numId="8">
    <w:abstractNumId w:val="1"/>
  </w:num>
  <w:num w:numId="9">
    <w:abstractNumId w:val="7"/>
  </w:num>
  <w:num w:numId="10">
    <w:abstractNumId w:val="2"/>
  </w:num>
  <w:num w:numId="1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5F2"/>
    <w:rsid w:val="00011ECE"/>
    <w:rsid w:val="000403BC"/>
    <w:rsid w:val="00052228"/>
    <w:rsid w:val="00131AD5"/>
    <w:rsid w:val="001457CF"/>
    <w:rsid w:val="00214965"/>
    <w:rsid w:val="002A228C"/>
    <w:rsid w:val="00301E1A"/>
    <w:rsid w:val="0035233F"/>
    <w:rsid w:val="00371EFA"/>
    <w:rsid w:val="003F0828"/>
    <w:rsid w:val="00454564"/>
    <w:rsid w:val="0047685F"/>
    <w:rsid w:val="00490E2A"/>
    <w:rsid w:val="004A1FDE"/>
    <w:rsid w:val="004B7DB8"/>
    <w:rsid w:val="004D225C"/>
    <w:rsid w:val="005227BF"/>
    <w:rsid w:val="00546086"/>
    <w:rsid w:val="006558C1"/>
    <w:rsid w:val="00680BBF"/>
    <w:rsid w:val="00741DAA"/>
    <w:rsid w:val="007D3AC9"/>
    <w:rsid w:val="00834AC2"/>
    <w:rsid w:val="00842F7F"/>
    <w:rsid w:val="00847C21"/>
    <w:rsid w:val="008524F9"/>
    <w:rsid w:val="008A1E26"/>
    <w:rsid w:val="0090241F"/>
    <w:rsid w:val="0092317F"/>
    <w:rsid w:val="00943FDA"/>
    <w:rsid w:val="00953070"/>
    <w:rsid w:val="00A245F2"/>
    <w:rsid w:val="00A41390"/>
    <w:rsid w:val="00A41A63"/>
    <w:rsid w:val="00A70126"/>
    <w:rsid w:val="00A80CA3"/>
    <w:rsid w:val="00AB3EE5"/>
    <w:rsid w:val="00B049DF"/>
    <w:rsid w:val="00BC6009"/>
    <w:rsid w:val="00BE3C00"/>
    <w:rsid w:val="00BE6D37"/>
    <w:rsid w:val="00C01378"/>
    <w:rsid w:val="00C77559"/>
    <w:rsid w:val="00CD245D"/>
    <w:rsid w:val="00D80B9E"/>
    <w:rsid w:val="00D87AC6"/>
    <w:rsid w:val="00DE5DC6"/>
    <w:rsid w:val="00E34784"/>
    <w:rsid w:val="00E45627"/>
    <w:rsid w:val="00F167B7"/>
    <w:rsid w:val="00FB136C"/>
    <w:rsid w:val="00FD74BC"/>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3F9F7"/>
  <w15:chartTrackingRefBased/>
  <w15:docId w15:val="{8B28AA45-A4B8-4FAA-8D41-5D225CF52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E6D37"/>
    <w:pPr>
      <w:ind w:left="720"/>
      <w:contextualSpacing/>
    </w:pPr>
  </w:style>
  <w:style w:type="paragraph" w:styleId="NormalWeb">
    <w:name w:val="Normal (Web)"/>
    <w:basedOn w:val="Normal"/>
    <w:uiPriority w:val="99"/>
    <w:semiHidden/>
    <w:unhideWhenUsed/>
    <w:rsid w:val="004B7DB8"/>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styleId="Textoennegrita">
    <w:name w:val="Strong"/>
    <w:basedOn w:val="Fuentedeprrafopredeter"/>
    <w:uiPriority w:val="22"/>
    <w:qFormat/>
    <w:rsid w:val="004B7D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2273">
      <w:bodyDiv w:val="1"/>
      <w:marLeft w:val="0"/>
      <w:marRight w:val="0"/>
      <w:marTop w:val="0"/>
      <w:marBottom w:val="0"/>
      <w:divBdr>
        <w:top w:val="none" w:sz="0" w:space="0" w:color="auto"/>
        <w:left w:val="none" w:sz="0" w:space="0" w:color="auto"/>
        <w:bottom w:val="none" w:sz="0" w:space="0" w:color="auto"/>
        <w:right w:val="none" w:sz="0" w:space="0" w:color="auto"/>
      </w:divBdr>
    </w:div>
    <w:div w:id="140777848">
      <w:bodyDiv w:val="1"/>
      <w:marLeft w:val="0"/>
      <w:marRight w:val="0"/>
      <w:marTop w:val="0"/>
      <w:marBottom w:val="0"/>
      <w:divBdr>
        <w:top w:val="none" w:sz="0" w:space="0" w:color="auto"/>
        <w:left w:val="none" w:sz="0" w:space="0" w:color="auto"/>
        <w:bottom w:val="none" w:sz="0" w:space="0" w:color="auto"/>
        <w:right w:val="none" w:sz="0" w:space="0" w:color="auto"/>
      </w:divBdr>
    </w:div>
    <w:div w:id="185680531">
      <w:bodyDiv w:val="1"/>
      <w:marLeft w:val="0"/>
      <w:marRight w:val="0"/>
      <w:marTop w:val="0"/>
      <w:marBottom w:val="0"/>
      <w:divBdr>
        <w:top w:val="none" w:sz="0" w:space="0" w:color="auto"/>
        <w:left w:val="none" w:sz="0" w:space="0" w:color="auto"/>
        <w:bottom w:val="none" w:sz="0" w:space="0" w:color="auto"/>
        <w:right w:val="none" w:sz="0" w:space="0" w:color="auto"/>
      </w:divBdr>
    </w:div>
    <w:div w:id="214127042">
      <w:bodyDiv w:val="1"/>
      <w:marLeft w:val="0"/>
      <w:marRight w:val="0"/>
      <w:marTop w:val="0"/>
      <w:marBottom w:val="0"/>
      <w:divBdr>
        <w:top w:val="none" w:sz="0" w:space="0" w:color="auto"/>
        <w:left w:val="none" w:sz="0" w:space="0" w:color="auto"/>
        <w:bottom w:val="none" w:sz="0" w:space="0" w:color="auto"/>
        <w:right w:val="none" w:sz="0" w:space="0" w:color="auto"/>
      </w:divBdr>
    </w:div>
    <w:div w:id="264657766">
      <w:bodyDiv w:val="1"/>
      <w:marLeft w:val="0"/>
      <w:marRight w:val="0"/>
      <w:marTop w:val="0"/>
      <w:marBottom w:val="0"/>
      <w:divBdr>
        <w:top w:val="none" w:sz="0" w:space="0" w:color="auto"/>
        <w:left w:val="none" w:sz="0" w:space="0" w:color="auto"/>
        <w:bottom w:val="none" w:sz="0" w:space="0" w:color="auto"/>
        <w:right w:val="none" w:sz="0" w:space="0" w:color="auto"/>
      </w:divBdr>
    </w:div>
    <w:div w:id="387073406">
      <w:bodyDiv w:val="1"/>
      <w:marLeft w:val="0"/>
      <w:marRight w:val="0"/>
      <w:marTop w:val="0"/>
      <w:marBottom w:val="0"/>
      <w:divBdr>
        <w:top w:val="none" w:sz="0" w:space="0" w:color="auto"/>
        <w:left w:val="none" w:sz="0" w:space="0" w:color="auto"/>
        <w:bottom w:val="none" w:sz="0" w:space="0" w:color="auto"/>
        <w:right w:val="none" w:sz="0" w:space="0" w:color="auto"/>
      </w:divBdr>
    </w:div>
    <w:div w:id="391777121">
      <w:bodyDiv w:val="1"/>
      <w:marLeft w:val="0"/>
      <w:marRight w:val="0"/>
      <w:marTop w:val="0"/>
      <w:marBottom w:val="0"/>
      <w:divBdr>
        <w:top w:val="none" w:sz="0" w:space="0" w:color="auto"/>
        <w:left w:val="none" w:sz="0" w:space="0" w:color="auto"/>
        <w:bottom w:val="none" w:sz="0" w:space="0" w:color="auto"/>
        <w:right w:val="none" w:sz="0" w:space="0" w:color="auto"/>
      </w:divBdr>
      <w:divsChild>
        <w:div w:id="4802738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6797626">
      <w:bodyDiv w:val="1"/>
      <w:marLeft w:val="0"/>
      <w:marRight w:val="0"/>
      <w:marTop w:val="0"/>
      <w:marBottom w:val="0"/>
      <w:divBdr>
        <w:top w:val="none" w:sz="0" w:space="0" w:color="auto"/>
        <w:left w:val="none" w:sz="0" w:space="0" w:color="auto"/>
        <w:bottom w:val="none" w:sz="0" w:space="0" w:color="auto"/>
        <w:right w:val="none" w:sz="0" w:space="0" w:color="auto"/>
      </w:divBdr>
    </w:div>
    <w:div w:id="656228338">
      <w:bodyDiv w:val="1"/>
      <w:marLeft w:val="0"/>
      <w:marRight w:val="0"/>
      <w:marTop w:val="0"/>
      <w:marBottom w:val="0"/>
      <w:divBdr>
        <w:top w:val="none" w:sz="0" w:space="0" w:color="auto"/>
        <w:left w:val="none" w:sz="0" w:space="0" w:color="auto"/>
        <w:bottom w:val="none" w:sz="0" w:space="0" w:color="auto"/>
        <w:right w:val="none" w:sz="0" w:space="0" w:color="auto"/>
      </w:divBdr>
    </w:div>
    <w:div w:id="717122401">
      <w:bodyDiv w:val="1"/>
      <w:marLeft w:val="0"/>
      <w:marRight w:val="0"/>
      <w:marTop w:val="0"/>
      <w:marBottom w:val="0"/>
      <w:divBdr>
        <w:top w:val="none" w:sz="0" w:space="0" w:color="auto"/>
        <w:left w:val="none" w:sz="0" w:space="0" w:color="auto"/>
        <w:bottom w:val="none" w:sz="0" w:space="0" w:color="auto"/>
        <w:right w:val="none" w:sz="0" w:space="0" w:color="auto"/>
      </w:divBdr>
    </w:div>
    <w:div w:id="761419472">
      <w:bodyDiv w:val="1"/>
      <w:marLeft w:val="0"/>
      <w:marRight w:val="0"/>
      <w:marTop w:val="0"/>
      <w:marBottom w:val="0"/>
      <w:divBdr>
        <w:top w:val="none" w:sz="0" w:space="0" w:color="auto"/>
        <w:left w:val="none" w:sz="0" w:space="0" w:color="auto"/>
        <w:bottom w:val="none" w:sz="0" w:space="0" w:color="auto"/>
        <w:right w:val="none" w:sz="0" w:space="0" w:color="auto"/>
      </w:divBdr>
      <w:divsChild>
        <w:div w:id="1291856877">
          <w:marLeft w:val="0"/>
          <w:marRight w:val="0"/>
          <w:marTop w:val="0"/>
          <w:marBottom w:val="0"/>
          <w:divBdr>
            <w:top w:val="none" w:sz="0" w:space="0" w:color="auto"/>
            <w:left w:val="none" w:sz="0" w:space="0" w:color="auto"/>
            <w:bottom w:val="none" w:sz="0" w:space="0" w:color="auto"/>
            <w:right w:val="none" w:sz="0" w:space="0" w:color="auto"/>
          </w:divBdr>
          <w:divsChild>
            <w:div w:id="1779446402">
              <w:marLeft w:val="0"/>
              <w:marRight w:val="0"/>
              <w:marTop w:val="0"/>
              <w:marBottom w:val="0"/>
              <w:divBdr>
                <w:top w:val="none" w:sz="0" w:space="0" w:color="auto"/>
                <w:left w:val="none" w:sz="0" w:space="0" w:color="auto"/>
                <w:bottom w:val="none" w:sz="0" w:space="0" w:color="auto"/>
                <w:right w:val="none" w:sz="0" w:space="0" w:color="auto"/>
              </w:divBdr>
              <w:divsChild>
                <w:div w:id="1760641985">
                  <w:marLeft w:val="0"/>
                  <w:marRight w:val="0"/>
                  <w:marTop w:val="0"/>
                  <w:marBottom w:val="0"/>
                  <w:divBdr>
                    <w:top w:val="none" w:sz="0" w:space="0" w:color="auto"/>
                    <w:left w:val="none" w:sz="0" w:space="0" w:color="auto"/>
                    <w:bottom w:val="none" w:sz="0" w:space="0" w:color="auto"/>
                    <w:right w:val="none" w:sz="0" w:space="0" w:color="auto"/>
                  </w:divBdr>
                  <w:divsChild>
                    <w:div w:id="385297580">
                      <w:marLeft w:val="0"/>
                      <w:marRight w:val="0"/>
                      <w:marTop w:val="0"/>
                      <w:marBottom w:val="0"/>
                      <w:divBdr>
                        <w:top w:val="none" w:sz="0" w:space="0" w:color="auto"/>
                        <w:left w:val="none" w:sz="0" w:space="0" w:color="auto"/>
                        <w:bottom w:val="none" w:sz="0" w:space="0" w:color="auto"/>
                        <w:right w:val="none" w:sz="0" w:space="0" w:color="auto"/>
                      </w:divBdr>
                      <w:divsChild>
                        <w:div w:id="382102286">
                          <w:marLeft w:val="0"/>
                          <w:marRight w:val="0"/>
                          <w:marTop w:val="0"/>
                          <w:marBottom w:val="0"/>
                          <w:divBdr>
                            <w:top w:val="none" w:sz="0" w:space="0" w:color="auto"/>
                            <w:left w:val="none" w:sz="0" w:space="0" w:color="auto"/>
                            <w:bottom w:val="none" w:sz="0" w:space="0" w:color="auto"/>
                            <w:right w:val="none" w:sz="0" w:space="0" w:color="auto"/>
                          </w:divBdr>
                          <w:divsChild>
                            <w:div w:id="1438255559">
                              <w:marLeft w:val="0"/>
                              <w:marRight w:val="0"/>
                              <w:marTop w:val="0"/>
                              <w:marBottom w:val="0"/>
                              <w:divBdr>
                                <w:top w:val="none" w:sz="0" w:space="0" w:color="auto"/>
                                <w:left w:val="none" w:sz="0" w:space="0" w:color="auto"/>
                                <w:bottom w:val="none" w:sz="0" w:space="0" w:color="auto"/>
                                <w:right w:val="none" w:sz="0" w:space="0" w:color="auto"/>
                              </w:divBdr>
                              <w:divsChild>
                                <w:div w:id="1065646774">
                                  <w:marLeft w:val="0"/>
                                  <w:marRight w:val="0"/>
                                  <w:marTop w:val="0"/>
                                  <w:marBottom w:val="0"/>
                                  <w:divBdr>
                                    <w:top w:val="none" w:sz="0" w:space="0" w:color="auto"/>
                                    <w:left w:val="none" w:sz="0" w:space="0" w:color="auto"/>
                                    <w:bottom w:val="none" w:sz="0" w:space="0" w:color="auto"/>
                                    <w:right w:val="none" w:sz="0" w:space="0" w:color="auto"/>
                                  </w:divBdr>
                                  <w:divsChild>
                                    <w:div w:id="249972102">
                                      <w:marLeft w:val="0"/>
                                      <w:marRight w:val="0"/>
                                      <w:marTop w:val="0"/>
                                      <w:marBottom w:val="0"/>
                                      <w:divBdr>
                                        <w:top w:val="none" w:sz="0" w:space="0" w:color="auto"/>
                                        <w:left w:val="none" w:sz="0" w:space="0" w:color="auto"/>
                                        <w:bottom w:val="none" w:sz="0" w:space="0" w:color="auto"/>
                                        <w:right w:val="none" w:sz="0" w:space="0" w:color="auto"/>
                                      </w:divBdr>
                                      <w:divsChild>
                                        <w:div w:id="372776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7648026">
              <w:marLeft w:val="0"/>
              <w:marRight w:val="0"/>
              <w:marTop w:val="0"/>
              <w:marBottom w:val="0"/>
              <w:divBdr>
                <w:top w:val="none" w:sz="0" w:space="0" w:color="auto"/>
                <w:left w:val="none" w:sz="0" w:space="0" w:color="auto"/>
                <w:bottom w:val="none" w:sz="0" w:space="0" w:color="auto"/>
                <w:right w:val="none" w:sz="0" w:space="0" w:color="auto"/>
              </w:divBdr>
              <w:divsChild>
                <w:div w:id="2076706560">
                  <w:marLeft w:val="0"/>
                  <w:marRight w:val="0"/>
                  <w:marTop w:val="0"/>
                  <w:marBottom w:val="0"/>
                  <w:divBdr>
                    <w:top w:val="none" w:sz="0" w:space="0" w:color="auto"/>
                    <w:left w:val="none" w:sz="0" w:space="0" w:color="auto"/>
                    <w:bottom w:val="none" w:sz="0" w:space="0" w:color="auto"/>
                    <w:right w:val="none" w:sz="0" w:space="0" w:color="auto"/>
                  </w:divBdr>
                  <w:divsChild>
                    <w:div w:id="1015573495">
                      <w:marLeft w:val="0"/>
                      <w:marRight w:val="0"/>
                      <w:marTop w:val="0"/>
                      <w:marBottom w:val="0"/>
                      <w:divBdr>
                        <w:top w:val="none" w:sz="0" w:space="0" w:color="auto"/>
                        <w:left w:val="none" w:sz="0" w:space="0" w:color="auto"/>
                        <w:bottom w:val="none" w:sz="0" w:space="0" w:color="auto"/>
                        <w:right w:val="none" w:sz="0" w:space="0" w:color="auto"/>
                      </w:divBdr>
                      <w:divsChild>
                        <w:div w:id="292252257">
                          <w:marLeft w:val="0"/>
                          <w:marRight w:val="0"/>
                          <w:marTop w:val="0"/>
                          <w:marBottom w:val="0"/>
                          <w:divBdr>
                            <w:top w:val="none" w:sz="0" w:space="0" w:color="auto"/>
                            <w:left w:val="none" w:sz="0" w:space="0" w:color="auto"/>
                            <w:bottom w:val="none" w:sz="0" w:space="0" w:color="auto"/>
                            <w:right w:val="none" w:sz="0" w:space="0" w:color="auto"/>
                          </w:divBdr>
                          <w:divsChild>
                            <w:div w:id="837229614">
                              <w:marLeft w:val="0"/>
                              <w:marRight w:val="0"/>
                              <w:marTop w:val="0"/>
                              <w:marBottom w:val="0"/>
                              <w:divBdr>
                                <w:top w:val="none" w:sz="0" w:space="0" w:color="auto"/>
                                <w:left w:val="none" w:sz="0" w:space="0" w:color="auto"/>
                                <w:bottom w:val="none" w:sz="0" w:space="0" w:color="auto"/>
                                <w:right w:val="none" w:sz="0" w:space="0" w:color="auto"/>
                              </w:divBdr>
                              <w:divsChild>
                                <w:div w:id="929313597">
                                  <w:marLeft w:val="0"/>
                                  <w:marRight w:val="0"/>
                                  <w:marTop w:val="0"/>
                                  <w:marBottom w:val="0"/>
                                  <w:divBdr>
                                    <w:top w:val="none" w:sz="0" w:space="0" w:color="auto"/>
                                    <w:left w:val="none" w:sz="0" w:space="0" w:color="auto"/>
                                    <w:bottom w:val="none" w:sz="0" w:space="0" w:color="auto"/>
                                    <w:right w:val="none" w:sz="0" w:space="0" w:color="auto"/>
                                  </w:divBdr>
                                  <w:divsChild>
                                    <w:div w:id="1967003357">
                                      <w:marLeft w:val="0"/>
                                      <w:marRight w:val="0"/>
                                      <w:marTop w:val="0"/>
                                      <w:marBottom w:val="0"/>
                                      <w:divBdr>
                                        <w:top w:val="none" w:sz="0" w:space="0" w:color="auto"/>
                                        <w:left w:val="none" w:sz="0" w:space="0" w:color="auto"/>
                                        <w:bottom w:val="none" w:sz="0" w:space="0" w:color="auto"/>
                                        <w:right w:val="none" w:sz="0" w:space="0" w:color="auto"/>
                                      </w:divBdr>
                                      <w:divsChild>
                                        <w:div w:id="1592198457">
                                          <w:marLeft w:val="0"/>
                                          <w:marRight w:val="0"/>
                                          <w:marTop w:val="0"/>
                                          <w:marBottom w:val="0"/>
                                          <w:divBdr>
                                            <w:top w:val="none" w:sz="0" w:space="0" w:color="auto"/>
                                            <w:left w:val="none" w:sz="0" w:space="0" w:color="auto"/>
                                            <w:bottom w:val="none" w:sz="0" w:space="0" w:color="auto"/>
                                            <w:right w:val="none" w:sz="0" w:space="0" w:color="auto"/>
                                          </w:divBdr>
                                          <w:divsChild>
                                            <w:div w:id="1572472054">
                                              <w:marLeft w:val="0"/>
                                              <w:marRight w:val="0"/>
                                              <w:marTop w:val="0"/>
                                              <w:marBottom w:val="0"/>
                                              <w:divBdr>
                                                <w:top w:val="none" w:sz="0" w:space="0" w:color="auto"/>
                                                <w:left w:val="none" w:sz="0" w:space="0" w:color="auto"/>
                                                <w:bottom w:val="none" w:sz="0" w:space="0" w:color="auto"/>
                                                <w:right w:val="none" w:sz="0" w:space="0" w:color="auto"/>
                                              </w:divBdr>
                                              <w:divsChild>
                                                <w:div w:id="765226231">
                                                  <w:marLeft w:val="0"/>
                                                  <w:marRight w:val="0"/>
                                                  <w:marTop w:val="0"/>
                                                  <w:marBottom w:val="0"/>
                                                  <w:divBdr>
                                                    <w:top w:val="none" w:sz="0" w:space="0" w:color="auto"/>
                                                    <w:left w:val="none" w:sz="0" w:space="0" w:color="auto"/>
                                                    <w:bottom w:val="none" w:sz="0" w:space="0" w:color="auto"/>
                                                    <w:right w:val="none" w:sz="0" w:space="0" w:color="auto"/>
                                                  </w:divBdr>
                                                  <w:divsChild>
                                                    <w:div w:id="643505445">
                                                      <w:marLeft w:val="0"/>
                                                      <w:marRight w:val="0"/>
                                                      <w:marTop w:val="0"/>
                                                      <w:marBottom w:val="0"/>
                                                      <w:divBdr>
                                                        <w:top w:val="none" w:sz="0" w:space="0" w:color="auto"/>
                                                        <w:left w:val="none" w:sz="0" w:space="0" w:color="auto"/>
                                                        <w:bottom w:val="none" w:sz="0" w:space="0" w:color="auto"/>
                                                        <w:right w:val="none" w:sz="0" w:space="0" w:color="auto"/>
                                                      </w:divBdr>
                                                      <w:divsChild>
                                                        <w:div w:id="732509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79651723">
              <w:marLeft w:val="0"/>
              <w:marRight w:val="0"/>
              <w:marTop w:val="0"/>
              <w:marBottom w:val="0"/>
              <w:divBdr>
                <w:top w:val="none" w:sz="0" w:space="0" w:color="auto"/>
                <w:left w:val="none" w:sz="0" w:space="0" w:color="auto"/>
                <w:bottom w:val="none" w:sz="0" w:space="0" w:color="auto"/>
                <w:right w:val="none" w:sz="0" w:space="0" w:color="auto"/>
              </w:divBdr>
              <w:divsChild>
                <w:div w:id="1214737075">
                  <w:marLeft w:val="0"/>
                  <w:marRight w:val="0"/>
                  <w:marTop w:val="0"/>
                  <w:marBottom w:val="0"/>
                  <w:divBdr>
                    <w:top w:val="none" w:sz="0" w:space="0" w:color="auto"/>
                    <w:left w:val="none" w:sz="0" w:space="0" w:color="auto"/>
                    <w:bottom w:val="none" w:sz="0" w:space="0" w:color="auto"/>
                    <w:right w:val="none" w:sz="0" w:space="0" w:color="auto"/>
                  </w:divBdr>
                  <w:divsChild>
                    <w:div w:id="773087204">
                      <w:marLeft w:val="0"/>
                      <w:marRight w:val="0"/>
                      <w:marTop w:val="0"/>
                      <w:marBottom w:val="0"/>
                      <w:divBdr>
                        <w:top w:val="none" w:sz="0" w:space="0" w:color="auto"/>
                        <w:left w:val="none" w:sz="0" w:space="0" w:color="auto"/>
                        <w:bottom w:val="none" w:sz="0" w:space="0" w:color="auto"/>
                        <w:right w:val="none" w:sz="0" w:space="0" w:color="auto"/>
                      </w:divBdr>
                      <w:divsChild>
                        <w:div w:id="942958750">
                          <w:marLeft w:val="0"/>
                          <w:marRight w:val="0"/>
                          <w:marTop w:val="0"/>
                          <w:marBottom w:val="0"/>
                          <w:divBdr>
                            <w:top w:val="none" w:sz="0" w:space="0" w:color="auto"/>
                            <w:left w:val="none" w:sz="0" w:space="0" w:color="auto"/>
                            <w:bottom w:val="none" w:sz="0" w:space="0" w:color="auto"/>
                            <w:right w:val="none" w:sz="0" w:space="0" w:color="auto"/>
                          </w:divBdr>
                          <w:divsChild>
                            <w:div w:id="271210400">
                              <w:marLeft w:val="0"/>
                              <w:marRight w:val="0"/>
                              <w:marTop w:val="0"/>
                              <w:marBottom w:val="0"/>
                              <w:divBdr>
                                <w:top w:val="none" w:sz="0" w:space="0" w:color="auto"/>
                                <w:left w:val="none" w:sz="0" w:space="0" w:color="auto"/>
                                <w:bottom w:val="none" w:sz="0" w:space="0" w:color="auto"/>
                                <w:right w:val="none" w:sz="0" w:space="0" w:color="auto"/>
                              </w:divBdr>
                              <w:divsChild>
                                <w:div w:id="370882724">
                                  <w:marLeft w:val="0"/>
                                  <w:marRight w:val="0"/>
                                  <w:marTop w:val="0"/>
                                  <w:marBottom w:val="0"/>
                                  <w:divBdr>
                                    <w:top w:val="none" w:sz="0" w:space="0" w:color="auto"/>
                                    <w:left w:val="none" w:sz="0" w:space="0" w:color="auto"/>
                                    <w:bottom w:val="none" w:sz="0" w:space="0" w:color="auto"/>
                                    <w:right w:val="none" w:sz="0" w:space="0" w:color="auto"/>
                                  </w:divBdr>
                                  <w:divsChild>
                                    <w:div w:id="2067948975">
                                      <w:marLeft w:val="0"/>
                                      <w:marRight w:val="0"/>
                                      <w:marTop w:val="0"/>
                                      <w:marBottom w:val="0"/>
                                      <w:divBdr>
                                        <w:top w:val="none" w:sz="0" w:space="0" w:color="auto"/>
                                        <w:left w:val="none" w:sz="0" w:space="0" w:color="auto"/>
                                        <w:bottom w:val="none" w:sz="0" w:space="0" w:color="auto"/>
                                        <w:right w:val="none" w:sz="0" w:space="0" w:color="auto"/>
                                      </w:divBdr>
                                      <w:divsChild>
                                        <w:div w:id="99661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0848056">
              <w:marLeft w:val="0"/>
              <w:marRight w:val="0"/>
              <w:marTop w:val="0"/>
              <w:marBottom w:val="0"/>
              <w:divBdr>
                <w:top w:val="none" w:sz="0" w:space="0" w:color="auto"/>
                <w:left w:val="none" w:sz="0" w:space="0" w:color="auto"/>
                <w:bottom w:val="none" w:sz="0" w:space="0" w:color="auto"/>
                <w:right w:val="none" w:sz="0" w:space="0" w:color="auto"/>
              </w:divBdr>
              <w:divsChild>
                <w:div w:id="825707291">
                  <w:marLeft w:val="0"/>
                  <w:marRight w:val="0"/>
                  <w:marTop w:val="0"/>
                  <w:marBottom w:val="0"/>
                  <w:divBdr>
                    <w:top w:val="none" w:sz="0" w:space="0" w:color="auto"/>
                    <w:left w:val="none" w:sz="0" w:space="0" w:color="auto"/>
                    <w:bottom w:val="none" w:sz="0" w:space="0" w:color="auto"/>
                    <w:right w:val="none" w:sz="0" w:space="0" w:color="auto"/>
                  </w:divBdr>
                  <w:divsChild>
                    <w:div w:id="1389762836">
                      <w:marLeft w:val="0"/>
                      <w:marRight w:val="0"/>
                      <w:marTop w:val="0"/>
                      <w:marBottom w:val="0"/>
                      <w:divBdr>
                        <w:top w:val="none" w:sz="0" w:space="0" w:color="auto"/>
                        <w:left w:val="none" w:sz="0" w:space="0" w:color="auto"/>
                        <w:bottom w:val="none" w:sz="0" w:space="0" w:color="auto"/>
                        <w:right w:val="none" w:sz="0" w:space="0" w:color="auto"/>
                      </w:divBdr>
                      <w:divsChild>
                        <w:div w:id="996762867">
                          <w:marLeft w:val="0"/>
                          <w:marRight w:val="0"/>
                          <w:marTop w:val="0"/>
                          <w:marBottom w:val="0"/>
                          <w:divBdr>
                            <w:top w:val="none" w:sz="0" w:space="0" w:color="auto"/>
                            <w:left w:val="none" w:sz="0" w:space="0" w:color="auto"/>
                            <w:bottom w:val="none" w:sz="0" w:space="0" w:color="auto"/>
                            <w:right w:val="none" w:sz="0" w:space="0" w:color="auto"/>
                          </w:divBdr>
                          <w:divsChild>
                            <w:div w:id="1498032569">
                              <w:marLeft w:val="0"/>
                              <w:marRight w:val="0"/>
                              <w:marTop w:val="0"/>
                              <w:marBottom w:val="0"/>
                              <w:divBdr>
                                <w:top w:val="none" w:sz="0" w:space="0" w:color="auto"/>
                                <w:left w:val="none" w:sz="0" w:space="0" w:color="auto"/>
                                <w:bottom w:val="none" w:sz="0" w:space="0" w:color="auto"/>
                                <w:right w:val="none" w:sz="0" w:space="0" w:color="auto"/>
                              </w:divBdr>
                              <w:divsChild>
                                <w:div w:id="4946651">
                                  <w:marLeft w:val="0"/>
                                  <w:marRight w:val="0"/>
                                  <w:marTop w:val="0"/>
                                  <w:marBottom w:val="0"/>
                                  <w:divBdr>
                                    <w:top w:val="none" w:sz="0" w:space="0" w:color="auto"/>
                                    <w:left w:val="none" w:sz="0" w:space="0" w:color="auto"/>
                                    <w:bottom w:val="none" w:sz="0" w:space="0" w:color="auto"/>
                                    <w:right w:val="none" w:sz="0" w:space="0" w:color="auto"/>
                                  </w:divBdr>
                                  <w:divsChild>
                                    <w:div w:id="1870072329">
                                      <w:marLeft w:val="0"/>
                                      <w:marRight w:val="0"/>
                                      <w:marTop w:val="0"/>
                                      <w:marBottom w:val="0"/>
                                      <w:divBdr>
                                        <w:top w:val="none" w:sz="0" w:space="0" w:color="auto"/>
                                        <w:left w:val="none" w:sz="0" w:space="0" w:color="auto"/>
                                        <w:bottom w:val="none" w:sz="0" w:space="0" w:color="auto"/>
                                        <w:right w:val="none" w:sz="0" w:space="0" w:color="auto"/>
                                      </w:divBdr>
                                      <w:divsChild>
                                        <w:div w:id="1774782434">
                                          <w:marLeft w:val="0"/>
                                          <w:marRight w:val="0"/>
                                          <w:marTop w:val="0"/>
                                          <w:marBottom w:val="0"/>
                                          <w:divBdr>
                                            <w:top w:val="none" w:sz="0" w:space="0" w:color="auto"/>
                                            <w:left w:val="none" w:sz="0" w:space="0" w:color="auto"/>
                                            <w:bottom w:val="none" w:sz="0" w:space="0" w:color="auto"/>
                                            <w:right w:val="none" w:sz="0" w:space="0" w:color="auto"/>
                                          </w:divBdr>
                                          <w:divsChild>
                                            <w:div w:id="1152872485">
                                              <w:marLeft w:val="0"/>
                                              <w:marRight w:val="0"/>
                                              <w:marTop w:val="0"/>
                                              <w:marBottom w:val="0"/>
                                              <w:divBdr>
                                                <w:top w:val="none" w:sz="0" w:space="0" w:color="auto"/>
                                                <w:left w:val="none" w:sz="0" w:space="0" w:color="auto"/>
                                                <w:bottom w:val="none" w:sz="0" w:space="0" w:color="auto"/>
                                                <w:right w:val="none" w:sz="0" w:space="0" w:color="auto"/>
                                              </w:divBdr>
                                              <w:divsChild>
                                                <w:div w:id="402215827">
                                                  <w:marLeft w:val="0"/>
                                                  <w:marRight w:val="0"/>
                                                  <w:marTop w:val="0"/>
                                                  <w:marBottom w:val="0"/>
                                                  <w:divBdr>
                                                    <w:top w:val="none" w:sz="0" w:space="0" w:color="auto"/>
                                                    <w:left w:val="none" w:sz="0" w:space="0" w:color="auto"/>
                                                    <w:bottom w:val="none" w:sz="0" w:space="0" w:color="auto"/>
                                                    <w:right w:val="none" w:sz="0" w:space="0" w:color="auto"/>
                                                  </w:divBdr>
                                                  <w:divsChild>
                                                    <w:div w:id="470830273">
                                                      <w:marLeft w:val="0"/>
                                                      <w:marRight w:val="0"/>
                                                      <w:marTop w:val="0"/>
                                                      <w:marBottom w:val="0"/>
                                                      <w:divBdr>
                                                        <w:top w:val="none" w:sz="0" w:space="0" w:color="auto"/>
                                                        <w:left w:val="none" w:sz="0" w:space="0" w:color="auto"/>
                                                        <w:bottom w:val="none" w:sz="0" w:space="0" w:color="auto"/>
                                                        <w:right w:val="none" w:sz="0" w:space="0" w:color="auto"/>
                                                      </w:divBdr>
                                                      <w:divsChild>
                                                        <w:div w:id="179093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73104558">
              <w:marLeft w:val="0"/>
              <w:marRight w:val="0"/>
              <w:marTop w:val="0"/>
              <w:marBottom w:val="0"/>
              <w:divBdr>
                <w:top w:val="none" w:sz="0" w:space="0" w:color="auto"/>
                <w:left w:val="none" w:sz="0" w:space="0" w:color="auto"/>
                <w:bottom w:val="none" w:sz="0" w:space="0" w:color="auto"/>
                <w:right w:val="none" w:sz="0" w:space="0" w:color="auto"/>
              </w:divBdr>
              <w:divsChild>
                <w:div w:id="1076394611">
                  <w:marLeft w:val="0"/>
                  <w:marRight w:val="0"/>
                  <w:marTop w:val="0"/>
                  <w:marBottom w:val="0"/>
                  <w:divBdr>
                    <w:top w:val="none" w:sz="0" w:space="0" w:color="auto"/>
                    <w:left w:val="none" w:sz="0" w:space="0" w:color="auto"/>
                    <w:bottom w:val="none" w:sz="0" w:space="0" w:color="auto"/>
                    <w:right w:val="none" w:sz="0" w:space="0" w:color="auto"/>
                  </w:divBdr>
                  <w:divsChild>
                    <w:div w:id="2095742619">
                      <w:marLeft w:val="0"/>
                      <w:marRight w:val="0"/>
                      <w:marTop w:val="0"/>
                      <w:marBottom w:val="0"/>
                      <w:divBdr>
                        <w:top w:val="none" w:sz="0" w:space="0" w:color="auto"/>
                        <w:left w:val="none" w:sz="0" w:space="0" w:color="auto"/>
                        <w:bottom w:val="none" w:sz="0" w:space="0" w:color="auto"/>
                        <w:right w:val="none" w:sz="0" w:space="0" w:color="auto"/>
                      </w:divBdr>
                      <w:divsChild>
                        <w:div w:id="18046562">
                          <w:marLeft w:val="0"/>
                          <w:marRight w:val="0"/>
                          <w:marTop w:val="0"/>
                          <w:marBottom w:val="0"/>
                          <w:divBdr>
                            <w:top w:val="none" w:sz="0" w:space="0" w:color="auto"/>
                            <w:left w:val="none" w:sz="0" w:space="0" w:color="auto"/>
                            <w:bottom w:val="none" w:sz="0" w:space="0" w:color="auto"/>
                            <w:right w:val="none" w:sz="0" w:space="0" w:color="auto"/>
                          </w:divBdr>
                          <w:divsChild>
                            <w:div w:id="696857473">
                              <w:marLeft w:val="0"/>
                              <w:marRight w:val="0"/>
                              <w:marTop w:val="0"/>
                              <w:marBottom w:val="0"/>
                              <w:divBdr>
                                <w:top w:val="none" w:sz="0" w:space="0" w:color="auto"/>
                                <w:left w:val="none" w:sz="0" w:space="0" w:color="auto"/>
                                <w:bottom w:val="none" w:sz="0" w:space="0" w:color="auto"/>
                                <w:right w:val="none" w:sz="0" w:space="0" w:color="auto"/>
                              </w:divBdr>
                              <w:divsChild>
                                <w:div w:id="1472094603">
                                  <w:marLeft w:val="0"/>
                                  <w:marRight w:val="0"/>
                                  <w:marTop w:val="0"/>
                                  <w:marBottom w:val="0"/>
                                  <w:divBdr>
                                    <w:top w:val="none" w:sz="0" w:space="0" w:color="auto"/>
                                    <w:left w:val="none" w:sz="0" w:space="0" w:color="auto"/>
                                    <w:bottom w:val="none" w:sz="0" w:space="0" w:color="auto"/>
                                    <w:right w:val="none" w:sz="0" w:space="0" w:color="auto"/>
                                  </w:divBdr>
                                  <w:divsChild>
                                    <w:div w:id="1466309579">
                                      <w:marLeft w:val="0"/>
                                      <w:marRight w:val="0"/>
                                      <w:marTop w:val="0"/>
                                      <w:marBottom w:val="0"/>
                                      <w:divBdr>
                                        <w:top w:val="none" w:sz="0" w:space="0" w:color="auto"/>
                                        <w:left w:val="none" w:sz="0" w:space="0" w:color="auto"/>
                                        <w:bottom w:val="none" w:sz="0" w:space="0" w:color="auto"/>
                                        <w:right w:val="none" w:sz="0" w:space="0" w:color="auto"/>
                                      </w:divBdr>
                                      <w:divsChild>
                                        <w:div w:id="1652521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835020">
      <w:bodyDiv w:val="1"/>
      <w:marLeft w:val="0"/>
      <w:marRight w:val="0"/>
      <w:marTop w:val="0"/>
      <w:marBottom w:val="0"/>
      <w:divBdr>
        <w:top w:val="none" w:sz="0" w:space="0" w:color="auto"/>
        <w:left w:val="none" w:sz="0" w:space="0" w:color="auto"/>
        <w:bottom w:val="none" w:sz="0" w:space="0" w:color="auto"/>
        <w:right w:val="none" w:sz="0" w:space="0" w:color="auto"/>
      </w:divBdr>
    </w:div>
    <w:div w:id="1039091163">
      <w:bodyDiv w:val="1"/>
      <w:marLeft w:val="0"/>
      <w:marRight w:val="0"/>
      <w:marTop w:val="0"/>
      <w:marBottom w:val="0"/>
      <w:divBdr>
        <w:top w:val="none" w:sz="0" w:space="0" w:color="auto"/>
        <w:left w:val="none" w:sz="0" w:space="0" w:color="auto"/>
        <w:bottom w:val="none" w:sz="0" w:space="0" w:color="auto"/>
        <w:right w:val="none" w:sz="0" w:space="0" w:color="auto"/>
      </w:divBdr>
    </w:div>
    <w:div w:id="1062752212">
      <w:bodyDiv w:val="1"/>
      <w:marLeft w:val="0"/>
      <w:marRight w:val="0"/>
      <w:marTop w:val="0"/>
      <w:marBottom w:val="0"/>
      <w:divBdr>
        <w:top w:val="none" w:sz="0" w:space="0" w:color="auto"/>
        <w:left w:val="none" w:sz="0" w:space="0" w:color="auto"/>
        <w:bottom w:val="none" w:sz="0" w:space="0" w:color="auto"/>
        <w:right w:val="none" w:sz="0" w:space="0" w:color="auto"/>
      </w:divBdr>
    </w:div>
    <w:div w:id="1241021432">
      <w:bodyDiv w:val="1"/>
      <w:marLeft w:val="0"/>
      <w:marRight w:val="0"/>
      <w:marTop w:val="0"/>
      <w:marBottom w:val="0"/>
      <w:divBdr>
        <w:top w:val="none" w:sz="0" w:space="0" w:color="auto"/>
        <w:left w:val="none" w:sz="0" w:space="0" w:color="auto"/>
        <w:bottom w:val="none" w:sz="0" w:space="0" w:color="auto"/>
        <w:right w:val="none" w:sz="0" w:space="0" w:color="auto"/>
      </w:divBdr>
    </w:div>
    <w:div w:id="1453938334">
      <w:bodyDiv w:val="1"/>
      <w:marLeft w:val="0"/>
      <w:marRight w:val="0"/>
      <w:marTop w:val="0"/>
      <w:marBottom w:val="0"/>
      <w:divBdr>
        <w:top w:val="none" w:sz="0" w:space="0" w:color="auto"/>
        <w:left w:val="none" w:sz="0" w:space="0" w:color="auto"/>
        <w:bottom w:val="none" w:sz="0" w:space="0" w:color="auto"/>
        <w:right w:val="none" w:sz="0" w:space="0" w:color="auto"/>
      </w:divBdr>
    </w:div>
    <w:div w:id="1466314767">
      <w:bodyDiv w:val="1"/>
      <w:marLeft w:val="0"/>
      <w:marRight w:val="0"/>
      <w:marTop w:val="0"/>
      <w:marBottom w:val="0"/>
      <w:divBdr>
        <w:top w:val="none" w:sz="0" w:space="0" w:color="auto"/>
        <w:left w:val="none" w:sz="0" w:space="0" w:color="auto"/>
        <w:bottom w:val="none" w:sz="0" w:space="0" w:color="auto"/>
        <w:right w:val="none" w:sz="0" w:space="0" w:color="auto"/>
      </w:divBdr>
    </w:div>
    <w:div w:id="1511211327">
      <w:bodyDiv w:val="1"/>
      <w:marLeft w:val="0"/>
      <w:marRight w:val="0"/>
      <w:marTop w:val="0"/>
      <w:marBottom w:val="0"/>
      <w:divBdr>
        <w:top w:val="none" w:sz="0" w:space="0" w:color="auto"/>
        <w:left w:val="none" w:sz="0" w:space="0" w:color="auto"/>
        <w:bottom w:val="none" w:sz="0" w:space="0" w:color="auto"/>
        <w:right w:val="none" w:sz="0" w:space="0" w:color="auto"/>
      </w:divBdr>
    </w:div>
    <w:div w:id="1587304611">
      <w:bodyDiv w:val="1"/>
      <w:marLeft w:val="0"/>
      <w:marRight w:val="0"/>
      <w:marTop w:val="0"/>
      <w:marBottom w:val="0"/>
      <w:divBdr>
        <w:top w:val="none" w:sz="0" w:space="0" w:color="auto"/>
        <w:left w:val="none" w:sz="0" w:space="0" w:color="auto"/>
        <w:bottom w:val="none" w:sz="0" w:space="0" w:color="auto"/>
        <w:right w:val="none" w:sz="0" w:space="0" w:color="auto"/>
      </w:divBdr>
    </w:div>
    <w:div w:id="1619333604">
      <w:bodyDiv w:val="1"/>
      <w:marLeft w:val="0"/>
      <w:marRight w:val="0"/>
      <w:marTop w:val="0"/>
      <w:marBottom w:val="0"/>
      <w:divBdr>
        <w:top w:val="none" w:sz="0" w:space="0" w:color="auto"/>
        <w:left w:val="none" w:sz="0" w:space="0" w:color="auto"/>
        <w:bottom w:val="none" w:sz="0" w:space="0" w:color="auto"/>
        <w:right w:val="none" w:sz="0" w:space="0" w:color="auto"/>
      </w:divBdr>
      <w:divsChild>
        <w:div w:id="244922661">
          <w:marLeft w:val="0"/>
          <w:marRight w:val="0"/>
          <w:marTop w:val="0"/>
          <w:marBottom w:val="0"/>
          <w:divBdr>
            <w:top w:val="none" w:sz="0" w:space="0" w:color="auto"/>
            <w:left w:val="none" w:sz="0" w:space="0" w:color="auto"/>
            <w:bottom w:val="none" w:sz="0" w:space="0" w:color="auto"/>
            <w:right w:val="none" w:sz="0" w:space="0" w:color="auto"/>
          </w:divBdr>
          <w:divsChild>
            <w:div w:id="885751724">
              <w:marLeft w:val="0"/>
              <w:marRight w:val="0"/>
              <w:marTop w:val="0"/>
              <w:marBottom w:val="0"/>
              <w:divBdr>
                <w:top w:val="none" w:sz="0" w:space="0" w:color="auto"/>
                <w:left w:val="none" w:sz="0" w:space="0" w:color="auto"/>
                <w:bottom w:val="none" w:sz="0" w:space="0" w:color="auto"/>
                <w:right w:val="none" w:sz="0" w:space="0" w:color="auto"/>
              </w:divBdr>
              <w:divsChild>
                <w:div w:id="1465350090">
                  <w:marLeft w:val="0"/>
                  <w:marRight w:val="0"/>
                  <w:marTop w:val="0"/>
                  <w:marBottom w:val="0"/>
                  <w:divBdr>
                    <w:top w:val="none" w:sz="0" w:space="0" w:color="auto"/>
                    <w:left w:val="none" w:sz="0" w:space="0" w:color="auto"/>
                    <w:bottom w:val="none" w:sz="0" w:space="0" w:color="auto"/>
                    <w:right w:val="none" w:sz="0" w:space="0" w:color="auto"/>
                  </w:divBdr>
                  <w:divsChild>
                    <w:div w:id="2125734249">
                      <w:marLeft w:val="0"/>
                      <w:marRight w:val="0"/>
                      <w:marTop w:val="0"/>
                      <w:marBottom w:val="0"/>
                      <w:divBdr>
                        <w:top w:val="none" w:sz="0" w:space="0" w:color="auto"/>
                        <w:left w:val="none" w:sz="0" w:space="0" w:color="auto"/>
                        <w:bottom w:val="none" w:sz="0" w:space="0" w:color="auto"/>
                        <w:right w:val="none" w:sz="0" w:space="0" w:color="auto"/>
                      </w:divBdr>
                      <w:divsChild>
                        <w:div w:id="1016346841">
                          <w:marLeft w:val="0"/>
                          <w:marRight w:val="0"/>
                          <w:marTop w:val="0"/>
                          <w:marBottom w:val="0"/>
                          <w:divBdr>
                            <w:top w:val="none" w:sz="0" w:space="0" w:color="auto"/>
                            <w:left w:val="none" w:sz="0" w:space="0" w:color="auto"/>
                            <w:bottom w:val="none" w:sz="0" w:space="0" w:color="auto"/>
                            <w:right w:val="none" w:sz="0" w:space="0" w:color="auto"/>
                          </w:divBdr>
                          <w:divsChild>
                            <w:div w:id="211559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4963218">
      <w:bodyDiv w:val="1"/>
      <w:marLeft w:val="0"/>
      <w:marRight w:val="0"/>
      <w:marTop w:val="0"/>
      <w:marBottom w:val="0"/>
      <w:divBdr>
        <w:top w:val="none" w:sz="0" w:space="0" w:color="auto"/>
        <w:left w:val="none" w:sz="0" w:space="0" w:color="auto"/>
        <w:bottom w:val="none" w:sz="0" w:space="0" w:color="auto"/>
        <w:right w:val="none" w:sz="0" w:space="0" w:color="auto"/>
      </w:divBdr>
      <w:divsChild>
        <w:div w:id="206798372">
          <w:marLeft w:val="0"/>
          <w:marRight w:val="0"/>
          <w:marTop w:val="0"/>
          <w:marBottom w:val="0"/>
          <w:divBdr>
            <w:top w:val="none" w:sz="0" w:space="0" w:color="auto"/>
            <w:left w:val="none" w:sz="0" w:space="0" w:color="auto"/>
            <w:bottom w:val="none" w:sz="0" w:space="0" w:color="auto"/>
            <w:right w:val="none" w:sz="0" w:space="0" w:color="auto"/>
          </w:divBdr>
          <w:divsChild>
            <w:div w:id="1010444851">
              <w:marLeft w:val="0"/>
              <w:marRight w:val="0"/>
              <w:marTop w:val="0"/>
              <w:marBottom w:val="0"/>
              <w:divBdr>
                <w:top w:val="none" w:sz="0" w:space="0" w:color="auto"/>
                <w:left w:val="none" w:sz="0" w:space="0" w:color="auto"/>
                <w:bottom w:val="none" w:sz="0" w:space="0" w:color="auto"/>
                <w:right w:val="none" w:sz="0" w:space="0" w:color="auto"/>
              </w:divBdr>
              <w:divsChild>
                <w:div w:id="1037776071">
                  <w:marLeft w:val="0"/>
                  <w:marRight w:val="0"/>
                  <w:marTop w:val="0"/>
                  <w:marBottom w:val="0"/>
                  <w:divBdr>
                    <w:top w:val="none" w:sz="0" w:space="0" w:color="auto"/>
                    <w:left w:val="none" w:sz="0" w:space="0" w:color="auto"/>
                    <w:bottom w:val="none" w:sz="0" w:space="0" w:color="auto"/>
                    <w:right w:val="none" w:sz="0" w:space="0" w:color="auto"/>
                  </w:divBdr>
                  <w:divsChild>
                    <w:div w:id="440681975">
                      <w:marLeft w:val="0"/>
                      <w:marRight w:val="0"/>
                      <w:marTop w:val="0"/>
                      <w:marBottom w:val="0"/>
                      <w:divBdr>
                        <w:top w:val="none" w:sz="0" w:space="0" w:color="auto"/>
                        <w:left w:val="none" w:sz="0" w:space="0" w:color="auto"/>
                        <w:bottom w:val="none" w:sz="0" w:space="0" w:color="auto"/>
                        <w:right w:val="none" w:sz="0" w:space="0" w:color="auto"/>
                      </w:divBdr>
                      <w:divsChild>
                        <w:div w:id="1819222292">
                          <w:marLeft w:val="0"/>
                          <w:marRight w:val="0"/>
                          <w:marTop w:val="0"/>
                          <w:marBottom w:val="0"/>
                          <w:divBdr>
                            <w:top w:val="none" w:sz="0" w:space="0" w:color="auto"/>
                            <w:left w:val="none" w:sz="0" w:space="0" w:color="auto"/>
                            <w:bottom w:val="none" w:sz="0" w:space="0" w:color="auto"/>
                            <w:right w:val="none" w:sz="0" w:space="0" w:color="auto"/>
                          </w:divBdr>
                          <w:divsChild>
                            <w:div w:id="44126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5849990">
      <w:bodyDiv w:val="1"/>
      <w:marLeft w:val="0"/>
      <w:marRight w:val="0"/>
      <w:marTop w:val="0"/>
      <w:marBottom w:val="0"/>
      <w:divBdr>
        <w:top w:val="none" w:sz="0" w:space="0" w:color="auto"/>
        <w:left w:val="none" w:sz="0" w:space="0" w:color="auto"/>
        <w:bottom w:val="none" w:sz="0" w:space="0" w:color="auto"/>
        <w:right w:val="none" w:sz="0" w:space="0" w:color="auto"/>
      </w:divBdr>
    </w:div>
    <w:div w:id="1959483444">
      <w:bodyDiv w:val="1"/>
      <w:marLeft w:val="0"/>
      <w:marRight w:val="0"/>
      <w:marTop w:val="0"/>
      <w:marBottom w:val="0"/>
      <w:divBdr>
        <w:top w:val="none" w:sz="0" w:space="0" w:color="auto"/>
        <w:left w:val="none" w:sz="0" w:space="0" w:color="auto"/>
        <w:bottom w:val="none" w:sz="0" w:space="0" w:color="auto"/>
        <w:right w:val="none" w:sz="0" w:space="0" w:color="auto"/>
      </w:divBdr>
    </w:div>
    <w:div w:id="1986467497">
      <w:bodyDiv w:val="1"/>
      <w:marLeft w:val="0"/>
      <w:marRight w:val="0"/>
      <w:marTop w:val="0"/>
      <w:marBottom w:val="0"/>
      <w:divBdr>
        <w:top w:val="none" w:sz="0" w:space="0" w:color="auto"/>
        <w:left w:val="none" w:sz="0" w:space="0" w:color="auto"/>
        <w:bottom w:val="none" w:sz="0" w:space="0" w:color="auto"/>
        <w:right w:val="none" w:sz="0" w:space="0" w:color="auto"/>
      </w:divBdr>
    </w:div>
    <w:div w:id="2100104556">
      <w:bodyDiv w:val="1"/>
      <w:marLeft w:val="0"/>
      <w:marRight w:val="0"/>
      <w:marTop w:val="0"/>
      <w:marBottom w:val="0"/>
      <w:divBdr>
        <w:top w:val="none" w:sz="0" w:space="0" w:color="auto"/>
        <w:left w:val="none" w:sz="0" w:space="0" w:color="auto"/>
        <w:bottom w:val="none" w:sz="0" w:space="0" w:color="auto"/>
        <w:right w:val="none" w:sz="0" w:space="0" w:color="auto"/>
      </w:divBdr>
    </w:div>
    <w:div w:id="2112777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15</Pages>
  <Words>6038</Words>
  <Characters>33213</Characters>
  <Application>Microsoft Office Word</Application>
  <DocSecurity>0</DocSecurity>
  <Lines>276</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Rosenberg</dc:creator>
  <cp:keywords/>
  <dc:description/>
  <cp:lastModifiedBy>Eric Rosenberg</cp:lastModifiedBy>
  <cp:revision>4</cp:revision>
  <dcterms:created xsi:type="dcterms:W3CDTF">2026-06-19T12:18:00Z</dcterms:created>
  <dcterms:modified xsi:type="dcterms:W3CDTF">2026-06-19T12:26:00Z</dcterms:modified>
</cp:coreProperties>
</file>